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body>
    <ns0:p>
      <ns0:r>
        <ns0:t>Before public math table.</ns0:t>
      </ns0:r>
    </ns0:p>
    <ns0:p>
      <ns0:r>
        <ns0:t xml:space="preserve">Before inline </ns0:t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t xml:space="preserve"> after equation.</ns0:t>
      </ns0:r>
      <ns0:r>
        <ns0:drawing>
          <ns2:inline distT="0" distB="0" distL="0" distR="0">
            <ns2:extent cx="2743200" cy="762000"/>
            <ns2:docPr id="90" name="Public inline composition box"/>
            <ns3:graphic>
              <ns3:graphicData uri="http://schemas.microsoft.com/office/word/2010/wordprocessingShape">
                <ns4:wsp>
                  <ns4:cNvSpPr txBox="1"/>
                  <ns4:spPr>
                    <ns3:xfrm>
                      <ns3:off x="0" y="0"/>
                      <ns3:ext cx="2743200" cy="762000"/>
                    </ns3:xfrm>
                    <ns3:prstGeom prst="rect">
                      <ns3:avLst/>
                    </ns3:prstGeom>
                    <ns3:ln w="6350">
                      <ns3:solidFill>
                        <ns3:srgbClr val="000000"/>
                      </ns3:solidFill>
                    </ns3:ln>
                  </ns4:spPr>
                  <ns4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4:txbx>
                  <ns4:bodyPr/>
                </ns4:wsp>
              </ns3:graphicData>
            </ns3:graphic>
          </ns2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