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r>
          <m:t xml:space="preserve">a</m:t>
        </m:r>
        <m:func>
          <m:funcPr>
            <m:ctrlPr>
              <w:rPr>
                <w:sz w:val="4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</w:rPr>
              <m:t xml:space="preserve">cos</m:t>
            </m:r>
          </m:fName>
          <m:e>
            <m:r>
              <m:rPr/>
              <w:rPr>
                <w:rFonts w:ascii="Cambria Math" w:hAnsi="Cambria Math"/>
                <w:sz w:val="24"/>
              </w:rPr>
              <m:t xml:space="preserve">x</m:t>
            </m:r>
          </m:e>
        </m:func>
        <m:func>
          <m:fName>
            <m:r>
              <m:rPr>
                <m:sty m:val="p"/>
              </m:rPr>
              <w:rPr>
                <w:rFonts w:ascii="Cambria Math" w:hAnsi="Cambria Math"/>
                <w:sz w:val="24"/>
              </w:rPr>
              <m:t xml:space="preserve">sin</m:t>
            </m:r>
          </m:fName>
          <m:e>
            <m:d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n+1</m:t>
                </m:r>
              </m:e>
            </m:d>
          </m:e>
        </m:func>
        <m:r>
          <m:t xml:space="preserve">=b</m:t>
        </m:r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