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r>
        <ns0:t>Composed story.</ns0:t>
      </ns0:r>
    </ns0:p>
    <ns0:sectPr>
      <ns0:pgSz ns0:w="12240" ns0:h="15840"/>
      <ns0:pgMar ns0:top="1440" ns0:right="1440" ns0:bottom="1440" ns0:left="1440" ns0:header="720" ns0:footer="1440"/>
      <ns0:footerReference ns0:type="default" ns1:id="footer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p>
    <ns0:pPr>
      <ns0:numPr>
        <ns0:ilvl ns0:val="0"/>
        <ns0:numId ns0:val="1"/>
      </ns0:numPr>
    </ns0:pPr>
    <ns0:r>
      <ns0:rPr>
        <ns0:b/>
        <ns0:rPrChange ns0:id="96" ns0:author="Public Reviewer" ns0:date="2026-10-16T00:00:00Z">
          <ns0:rPr>
            <ns0:b ns0:val="0"/>
          </ns0:rPr>
        </ns0:rPrChange>
      </ns0:rPr>
      <ns0:t xml:space="preserve">Summary: </ns0:t>
    </ns0:r>
    <ns0:bookmarkStart ns0:id="1" ns0:name="Calculation"/>
    <ns1:oMathPara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</ns1:oMathPara>
    <ns0:bookmarkEnd ns0:id="1"/>
    <ns0:r>
      <ns0:t xml:space="preserve"> governs the planning ratio. See </ns0:t>
    </ns0:r>
    <ns0:hyperlink ns2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1:oMathPara>
      <ns1:oMath>
        <ns1:r>
          <ns1:t>a+b=c</ns1:t>
        </ns1:r>
      </ns1:oMath>
    </ns1:oMathPara>
    <ns0:r>
      <ns0:t xml:space="preserve"> and </ns0:t>
    </ns0:r>
    <ns1:oMathPara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</ns1:oMathPara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>
      <ns0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t xml:space="preserve"> accompanies the calculation </ns0:t>
    </ns0:r>
    <ns1:oMathPara>
      <ns1:oMath>
        <ns1:r>
          <ns1:t>a+b=c</ns1:t>
        </ns1:r>
      </ns1:oMath>
    </ns1:oMathPara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