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ns0:hdr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p>
    <ns0:pPr>
      <ns0:numPr>
        <ns0:ilvl ns0:val="0"/>
        <ns0:numId ns0:val="1"/>
      </ns0:numPr>
    </ns0:pPr>
    <ns0:r>
      <ns0:rPr/>
      <ns0:t xml:space="preserve">Summary: </ns0:t>
    </ns0:r>
    <ns0:bookmarkStart ns0:id="1" ns0:name="Calculation"/>
    <ns1:oMathPara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</ns1:oMathPara>
    <ns0:bookmarkEnd ns0:id="1"/>
    <ns0:r>
      <ns0:t xml:space="preserve"> governs the planning ratio. See </ns0:t>
    </ns0:r>
    <ns0:hyperlink ns2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rPr>
        <ns0:b/>
        <ns0:rPrChange ns0:id="96" ns0:author="Public Reviewer" ns0:date="2026-10-16T00:00:00Z">
          <ns0:rPr>
            <ns0:b ns0:val="0"/>
          </ns0:rPr>
        </ns0:rPrChange>
      </ns0:rPr>
      <ns0:t xml:space="preserve">The two relationships </ns0:t>
    </ns0:r>
    <ns1:oMathPara>
      <ns1:oMath>
        <ns1:r>
          <ns1:t>a+b=c</ns1:t>
        </ns1:r>
      </ns1:oMath>
    </ns1:oMathPara>
    <ns0:r>
      <ns0:t xml:space="preserve"> and </ns0:t>
    </ns0:r>
    <ns1:oMathPara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</ns1:oMathPara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>
      <ns0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t xml:space="preserve"> accompanies the calculation </ns0:t>
    </ns0:r>
    <ns1:oMathPara>
      <ns1:oMath>
        <ns1:r>
          <ns1:t>a+b=c</ns1:t>
        </ns1:r>
      </ns1:oMath>
    </ns1:oMathPara>
    <ns0:r>
      <ns0:t xml:space="preserve"> without replacing it.</ns0:t>
    </ns0:r>
  </ns0:p>
</ns0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