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 xml:space="preserve">Before formula: </ns0:t>
      </ns0:r>
    </ns0:p>
    <ns0:p>
      <ns0:bookmarkStart ns0:id="41" ns0:name="PublicCalculation"/>
      <ns0:hyperlink ns0:anchor="PublicCalculation">
        <ns1:oMathPara>
          <ns1:oMath>
            <ns1:r>
              <ns0:rPr>
                <ns0:rFonts ns0:ascii="Cambria Math" ns0:hAnsi="Cambria Math"/>
              </ns0:rPr>
              <ns1:t xml:space="preserve">α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β</ns1:t>
            </ns1:r>
            <ns1:r>
              <ns0:rPr>
                <ns0:rFonts ns0:ascii="Cambria Math" ns0:hAnsi="Cambria Math"/>
              </ns0:rPr>
              <ns1:t xml:space="preserve">=</ns1:t>
            </ns1:r>
            <ns1:r>
              <ns0:rPr>
                <ns0:rFonts ns0:ascii="Cambria Math" ns0:hAnsi="Cambria Math"/>
              </ns0:rPr>
              <ns1:t xml:space="preserve">γ</ns1:t>
            </ns1:r>
          </ns1:oMath>
          <ns1:oMath>
            <ns1:r>
              <ns0:rPr>
                <ns0:rFonts ns0:ascii="Cambria Math" ns0:hAnsi="Cambria Math"/>
              </ns0:rPr>
              <ns1:t xml:space="preserve">δ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ε</ns1:t>
            </ns1:r>
            <ns1:r>
              <ns0:rPr>
                <ns0:rFonts ns0:ascii="Cambria Math" ns0:hAnsi="Cambria Math"/>
              </ns0:rPr>
              <ns1:t xml:space="preserve">=</ns1:t>
            </ns1:r>
            <ns1:r>
              <ns0:rPr>
                <ns0:rFonts ns0:ascii="Cambria Math" ns0:hAnsi="Cambria Math"/>
              </ns0:rPr>
              <ns1:t xml:space="preserve">ζ</ns1:t>
            </ns1:r>
          </ns1:oMath>
        </ns1:oMathPara>
      </ns0:hyperlink>
      <ns0:bookmarkEnd ns0:id="41"/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