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m:oMathPara>
        <m:oMath>
          <m:rad>
            <m:radPr>
              <m:degHide m:val="0"/>
              <m:ctrlPr>
                <w:rPr>
                  <w:rFonts w:ascii="Cambria Math" w:hAnsi="Cambria Math"/>
                  <w:sz w:val="24"/>
                </w:rPr>
              </m:ctrlPr>
            </m:radPr>
            <m:deg>
              <m:r>
                <m:rPr/>
                <w:rPr>
                  <w:rFonts w:ascii="Cambria Math" w:hAnsi="Cambria Math"/>
                  <w:sz w:val="24"/>
                </w:rPr>
                <m:t xml:space="preserve">3</m:t>
              </m:r>
            </m:deg>
            <m:e>
              <m:m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a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b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c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d</m:t>
                    </m:r>
                  </m:e>
                </m:mr>
              </m:m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