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rFonts w:ascii="Calibri" w:hAnsi="Calibri"/>
          <w:sz w:val="22"/>
        </w:rPr>
        <w:t>Before table.</w:t>
      </w:r>
    </w:p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  <w:tblCellMar>
        <w:left w:w="108" w:type="dxa"/>
        <w:right w:w="108" w:type="dxa"/>
      </w:tblCellMar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