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4="http://schemas.openxmlformats.org/drawingml/2006/main" xmlns:ns5="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wp:extent cx="457200" cy="228600"/>
            <wp:docPr id="1" name="Public trend illustration"/>
            <ns4:graphic>
              <ns4:graphicData uri="http://schemas.openxmlformats.org/drawingml/2006/picture">
                <ns5:pic>
                  <ns5:nvPicPr>
                    <ns5:cNvPr id="1" name="Public trend illustration"/>
                    <ns5:cNvPicPr/>
                  </ns5:nvPicPr>
                  <ns5:blipFill>
                    <ns4:blip r:embed="image"/>
                    <ns4:stretch>
                      <ns4:fillRect/>
                    </ns4:stretch>
                  </ns5:blipFill>
                  <ns5:spPr>
                    <ns4:xfrm>
                      <ns4:off x="0" y="0"/>
                      <ns4:ext cx="457200" cy="228600"/>
                    </ns4:xfrm>
                    <ns4:prstGeom prst="rect">
                      <ns4:avLst/>
                    </ns4:prstGeom>
                  </ns5:spPr>
                </ns5:pic>
              </ns4:graphicData>
            </ns4: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tbl>
      <w:tblPr>
        <w:tblW w:w="9360" w:type="dxa"/>
        <w:tblLayout w:type="fixed"/>
        <w:tblBorders>
          <w:top w:val="single" w:sz="4"/>
          <w:bottom w:val="single" w:sz="4"/>
          <w:left w:val="single" w:sz="4"/>
          <w:right w:val="single" w:sz="4"/>
          <w:insideV w:val="single" w:sz="4"/>
        </w:tblBorders>
      </w:tblPr>
      <w:tblGrid>
        <w:gridCol w:w="9360"/>
      </w:tblGrid>
      <w:tr>
        <w:tc>
          <w:tcPr>
            <w:tcW w:w="9360" w:type="dxa"/>
          </w:tcPr>
          <w:p>
            <w:pPr>
              <w:rPr>
                <w:rFonts w:ascii="Arial" w:hAnsi="Arial"/>
                <w:sz w:val="24"/>
              </w:rPr>
            </w:pPr>
            <w:r>
              <w:rPr>
                <w:rFonts w:ascii="Arial" w:hAnsi="Arial"/>
                <w:sz w:val="24"/>
              </w:rPr>
              <w:t>Calculation summary</w:t>
            </w:r>
          </w:p>
          <w:tbl>
            <w:tblPr>
              <w:tblW w:w="9360" w:type="dxa"/>
              <w:tblLayout w:type="fixed"/>
              <w:tblBorders>
                <w:top w:val="single" w:sz="4"/>
                <w:bottom w:val="single" w:sz="4"/>
                <w:left w:val="single" w:sz="4"/>
                <w:right w:val="single" w:sz="4"/>
                <w:insideV w:val="single" w:sz="4"/>
              </w:tblBorders>
            </w:tblPr>
            <w:tblGrid>
              <w:gridCol w:w="9360"/>
            </w:tblGrid>
            <w:tr>
              <w:tc>
                <w:tcPr>
                  <w:tcW w:w="9360" w:type="dxa"/>
                </w:tcPr>
                <w:p>
                  <w:pPr>
                    <w:rPr>
                      <w:rFonts w:ascii="Arial" w:hAnsi="Arial"/>
                      <w:sz w:val="24"/>
                    </w:rPr>
                  </w:pPr>
                  <w:r>
                    <w:drawing>
                      <wp:inline>
                        <wp:extent cx="457200" cy="228600"/>
                        <wp:docPr id="2" name="Calculation ratio trend"/>
                        <ns4:graphic>
                          <ns4:graphicData uri="http://schemas.openxmlformats.org/drawingml/2006/picture">
                            <ns5:pic>
                              <ns5:nvPicPr>
                                <ns5:cNvPr id="1" name="Public trend illustration"/>
                                <ns5:cNvPicPr/>
                              </ns5:nvPicPr>
                              <ns5:blipFill>
                                <ns4:blip r:embed="nestedCalculationImage"/>
                                <ns4:stretch>
                                  <ns4:fillRect/>
                                </ns4:stretch>
                              </ns5:blipFill>
                              <ns5:spPr>
                                <ns4:xfrm>
                                  <ns4:off x="0" y="0"/>
                                  <ns4:ext cx="457200" cy="228600"/>
                                </ns4:xfrm>
                                <ns4:prstGeom prst="rect">
                                  <ns4:avLst/>
                                </ns4:prstGeom>
                              </ns5:spPr>
                            </ns5:pic>
                          </ns4:graphicData>
                        </ns4:graphic>
                      </wp:inline>
                    </w:drawing>
                  </w:r>
                  <w:hyperlink w:anchor="NestedCalculationDetails">
                    <m:oMathPara>
                      <m:oMath>
                        <m:f>
                          <m:num>
                            <m:r>
                              <m:rPr>
                                <m:nor/>
                              </m:rPr>
                              <w:rPr>
                                <w:rFonts w:ascii="Arial" w:hAnsi="Arial"/>
                              </w:rPr>
                              <m:t xml:space="preserve">rate</m:t>
                            </m:r>
                          </m:num>
                          <m:den>
                            <m:r>
                              <m:rPr>
                                <m:nor/>
                              </m:rPr>
                              <w:rPr>
                                <w:rFonts w:ascii="Arial" w:hAnsi="Arial"/>
                              </w:rPr>
                              <m:t xml:space="preserve">time</m:t>
                            </m:r>
                          </m:den>
                        </m:f>
                      </m:oMath>
                    </m:oMathPara>
                  </w:hyperlink>
                  <m:oMathPara>
                    <m:oMath>
                      <m:f>
                        <m:num>
                          <m:r>
                            <m:rPr>
                              <m:nor/>
                            </m:rPr>
                            <w:rPr>
                              <w:rFonts w:ascii="Arial" w:hAnsi="Arial"/>
                            </w:rPr>
                            <m:t xml:space="preserve">rate</m:t>
                          </m:r>
                        </m:num>
                        <m:den>
                          <m:r>
                            <m:rPr>
                              <m:nor/>
                            </m:rPr>
                            <w:rPr>
                              <w:rFonts w:ascii="Arial" w:hAnsi="Arial"/>
                            </w:rPr>
                            <m:t xml:space="preserve">time</m:t>
                          </m:r>
                        </m:den>
                      </m:f>
                    </m:oMath>
                  </m:oMathPara>
                </w:p>
              </w:tc>
            </w:tr>
          </w:tbl>
          <w:p>
            <w:pPr>
              <w:rPr>
                <w:rFonts w:ascii="Arial" w:hAnsi="Arial"/>
                <w:sz w:val="24"/>
              </w:rPr>
            </w:pPr>
            <w:bookmarkStart w:id="2" w:name="NestedCalculationDetails"/>
            <w:r>
              <w:rPr>
                <w:rFonts w:ascii="Arial" w:hAnsi="Arial"/>
                <w:sz w:val="24"/>
              </w:rPr>
              <w:t>Detail: review the accepted ratio.</w:t>
            </w:r>
            <w:bookmarkEnd w:id="2"/>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footnotes" Target="foot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 Id="nestedCalculationImage" Type="http://schemas.openxmlformats.org/officeDocument/2006/relationships/image" Target="media/nested-calculation.png" /></ns0:Relationships>
</file>