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Calibri" w:hAnsi="Calibri"/>
          <w:sz w:val="20"/>
        </w:rPr>
        <w:t>Compact bullet spacing probe</w:t>
      </w:r>
    </w:p>
    <w:p>
      <w:pPr>
        <w:pStyle w:val="Compact"/>
        <w:numPr>
          <w:ilvl w:val="0"/>
          <w:numId w:val="1"/>
        </w:numPr>
      </w:pPr>
      <w:r>
        <w:rPr>
          <w:rFonts w:ascii="Calibri" w:hAnsi="Calibri"/>
          <w:sz w:val="20"/>
        </w:rPr>
        <w:t>First compact bullet wraps with neutral public words across the available line width.</w:t>
      </w:r>
    </w:p>
    <w:p>
      <w:pPr>
        <w:pStyle w:val="Compact"/>
        <w:numPr>
          <w:ilvl w:val="0"/>
          <w:numId w:val="1"/>
        </w:numPr>
      </w:pPr>
      <w:r>
        <w:rPr>
          <w:rFonts w:ascii="Calibri" w:hAnsi="Calibri"/>
          <w:sz w:val="20"/>
        </w:rPr>
        <w:t>Second compact bullet keeps a short single line for spacing measurement.</w:t>
      </w:r>
    </w:p>
    <w:p>
      <w:pPr>
        <w:pStyle w:val="Compact"/>
        <w:numPr>
          <w:ilvl w:val="0"/>
          <w:numId w:val="1"/>
        </w:numPr>
      </w:pPr>
      <w:r>
        <w:rPr>
          <w:rFonts w:ascii="Calibri" w:hAnsi="Calibri"/>
          <w:sz w:val="20"/>
        </w:rPr>
        <w:t>Third compact bullet keeps another short line for spacing measurement.</w:t>
      </w:r>
    </w:p>
    <w:sectPr>
      <w:pgSz w:w="11900" w:h="16840"/>
      <w:pgMar w:top="1440" w:right="1440" w:bottom="1440" w:left="1440" w:header="720" w:footer="720"/>
      <w:docGrid w:linePitch="326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0"/>
    </w:rPr>
  </w:style>
  <w:style w:type="paragraph" w:styleId="Compact">
    <w:name w:val="Compact"/>
    <w:basedOn w:val="Normal"/>
    <w:pPr>
      <w:spacing w:before="36" w:after="0"/>
    </w:pPr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/Relationships>
</file>