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5000" w:type="pc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3"/>
        <w:gridCol w:w="1906"/>
        <w:gridCol w:w="1320"/>
        <w:gridCol w:w="1320"/>
        <w:gridCol w:w="1320"/>
        <w:gridCol w:w="1320"/>
      </w:tblGrid>
      <w:tr>
        <w:tc>
          <w:tcPr>
            <w:tcW w:w="733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01</w:t>
            </w:r>
          </w:p>
        </w:tc>
        <w:tc>
          <w:tcPr>
            <w:tcW w:w="1906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Review marker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Fixed (ABC + 6 mo)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Fixed (ABC + 6 mo)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Gamma marker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Supply review</w:t>
            </w:r>
          </w:p>
        </w:tc>
      </w:tr>
      <w:tr>
        <w:tc>
          <w:tcPr>
            <w:tcW w:w="733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02</w:t>
            </w:r>
          </w:p>
        </w:tc>
        <w:tc>
          <w:tcPr>
            <w:tcW w:w="1906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Measured status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Capacity review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Service review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Projected coverage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Late inbound</w:t>
            </w:r>
          </w:p>
        </w:tc>
      </w:tr>
      <w:tr>
        <w:tc>
          <w:tcPr>
            <w:tcW w:w="733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03</w:t>
            </w:r>
          </w:p>
        </w:tc>
        <w:tc>
          <w:tcPr>
            <w:tcW w:w="1906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Public row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Q3 target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Demand transfer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Risk class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Open constraint</w:t>
            </w:r>
          </w:p>
        </w:tc>
      </w:tr>
      <w:tr>
        <w:tc>
          <w:tcPr>
            <w:tcW w:w="733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04</w:t>
            </w:r>
          </w:p>
        </w:tc>
        <w:tc>
          <w:tcPr>
            <w:tcW w:w="1906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Compact planning marker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Open item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Fixed (ABC + 6 mo)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Short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Delta marker</w:t>
            </w:r>
          </w:p>
        </w:tc>
      </w:tr>
      <w:tr>
        <w:tc>
          <w:tcPr>
            <w:tcW w:w="733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05</w:t>
            </w:r>
          </w:p>
        </w:tc>
        <w:tc>
          <w:tcPr>
            <w:tcW w:w="1906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Review marker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North-West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Service review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Warehouse flow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Supply review</w:t>
            </w:r>
          </w:p>
        </w:tc>
      </w:tr>
      <w:tr>
        <w:tc>
          <w:tcPr>
            <w:tcW w:w="733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06</w:t>
            </w:r>
          </w:p>
        </w:tc>
        <w:tc>
          <w:tcPr>
            <w:tcW w:w="1906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Measured status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Fixed (ABC + 6 mo)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Demand transfer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Exception marker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Late inbound</w:t>
            </w:r>
          </w:p>
        </w:tc>
      </w:tr>
      <w:tr>
        <w:tc>
          <w:tcPr>
            <w:tcW w:w="733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07</w:t>
            </w:r>
          </w:p>
        </w:tc>
        <w:tc>
          <w:tcPr>
            <w:tcW w:w="1906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Public row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Capacity review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Fixed (ABC + 6 mo)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Gamma marker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Open constraint</w:t>
            </w:r>
          </w:p>
        </w:tc>
      </w:tr>
      <w:tr>
        <w:tc>
          <w:tcPr>
            <w:tcW w:w="733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08</w:t>
            </w:r>
          </w:p>
        </w:tc>
        <w:tc>
          <w:tcPr>
            <w:tcW w:w="1906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Compact planning marker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Q3 target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Service review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Projected coverage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Delta marker</w:t>
            </w:r>
          </w:p>
        </w:tc>
      </w:tr>
      <w:tr>
        <w:tc>
          <w:tcPr>
            <w:tcW w:w="733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09</w:t>
            </w:r>
          </w:p>
        </w:tc>
        <w:tc>
          <w:tcPr>
            <w:tcW w:w="1906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Review marker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Open item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Demand transfer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Risk class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Supply review</w:t>
            </w:r>
          </w:p>
        </w:tc>
      </w:tr>
      <w:tr>
        <w:tc>
          <w:tcPr>
            <w:tcW w:w="733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w="1906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Measured status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North-West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Fixed (ABC + 6 mo)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Short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Late inbound</w:t>
            </w:r>
          </w:p>
        </w:tc>
      </w:tr>
      <w:tr>
        <w:tc>
          <w:tcPr>
            <w:tcW w:w="733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11</w:t>
            </w:r>
          </w:p>
        </w:tc>
        <w:tc>
          <w:tcPr>
            <w:tcW w:w="1906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Public row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Fixed (ABC + 6 mo)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Service review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Warehouse flow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Open constraint</w:t>
            </w:r>
          </w:p>
        </w:tc>
      </w:tr>
      <w:tr>
        <w:tc>
          <w:tcPr>
            <w:tcW w:w="733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12</w:t>
            </w:r>
          </w:p>
        </w:tc>
        <w:tc>
          <w:tcPr>
            <w:tcW w:w="1906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Compact planning marker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Capacity review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Demand transfer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Exception marker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Delta marker</w:t>
            </w:r>
          </w:p>
        </w:tc>
      </w:tr>
      <w:tr>
        <w:tc>
          <w:tcPr>
            <w:tcW w:w="733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13</w:t>
            </w:r>
          </w:p>
        </w:tc>
        <w:tc>
          <w:tcPr>
            <w:tcW w:w="1906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Review marker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Q3 target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Fixed (ABC + 6 mo)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Gamma marker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Supply review</w:t>
            </w:r>
          </w:p>
        </w:tc>
      </w:tr>
      <w:tr>
        <w:tc>
          <w:tcPr>
            <w:tcW w:w="733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14</w:t>
            </w:r>
          </w:p>
        </w:tc>
        <w:tc>
          <w:tcPr>
            <w:tcW w:w="1906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Measured status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Open item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Service review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Projected coverage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Late inbound</w:t>
            </w:r>
          </w:p>
        </w:tc>
      </w:tr>
      <w:tr>
        <w:tc>
          <w:tcPr>
            <w:tcW w:w="733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15</w:t>
            </w:r>
          </w:p>
        </w:tc>
        <w:tc>
          <w:tcPr>
            <w:tcW w:w="1906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Public row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North-West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Demand transfer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Risk class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Open constraint</w:t>
            </w:r>
          </w:p>
        </w:tc>
      </w:tr>
      <w:tr>
        <w:tc>
          <w:tcPr>
            <w:tcW w:w="733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16</w:t>
            </w:r>
          </w:p>
        </w:tc>
        <w:tc>
          <w:tcPr>
            <w:tcW w:w="1906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Compact planning marker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Fixed (ABC + 6 mo)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Fixed (ABC + 6 mo)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Short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Delta marker</w:t>
            </w:r>
          </w:p>
        </w:tc>
      </w:tr>
      <w:tr>
        <w:tc>
          <w:tcPr>
            <w:tcW w:w="733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17</w:t>
            </w:r>
          </w:p>
        </w:tc>
        <w:tc>
          <w:tcPr>
            <w:tcW w:w="1906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Review marker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Capacity review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Service review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Warehouse flow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Supply review</w:t>
            </w:r>
          </w:p>
        </w:tc>
      </w:tr>
      <w:tr>
        <w:tc>
          <w:tcPr>
            <w:tcW w:w="733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18</w:t>
            </w:r>
          </w:p>
        </w:tc>
        <w:tc>
          <w:tcPr>
            <w:tcW w:w="1906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Measured status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Q3 target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Demand transfer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Exception marker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Late inbound</w:t>
            </w:r>
          </w:p>
        </w:tc>
      </w:tr>
      <w:tr>
        <w:tc>
          <w:tcPr>
            <w:tcW w:w="733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19</w:t>
            </w:r>
          </w:p>
        </w:tc>
        <w:tc>
          <w:tcPr>
            <w:tcW w:w="1906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Public row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Open item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Fixed (ABC + 6 mo)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Gamma marker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Open constraint</w:t>
            </w:r>
          </w:p>
        </w:tc>
      </w:tr>
      <w:tr>
        <w:tc>
          <w:tcPr>
            <w:tcW w:w="733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20</w:t>
            </w:r>
          </w:p>
        </w:tc>
        <w:tc>
          <w:tcPr>
            <w:tcW w:w="1906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Compact planning marker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North-West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Service review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Projected coverage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Delta marker</w:t>
            </w:r>
          </w:p>
        </w:tc>
      </w:tr>
      <w:tr>
        <w:tc>
          <w:tcPr>
            <w:tcW w:w="733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21</w:t>
            </w:r>
          </w:p>
        </w:tc>
        <w:tc>
          <w:tcPr>
            <w:tcW w:w="1906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Review marker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Fixed (ABC + 6 mo)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Demand transfer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Risk class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Supply review</w:t>
            </w:r>
          </w:p>
        </w:tc>
      </w:tr>
      <w:tr>
        <w:tc>
          <w:tcPr>
            <w:tcW w:w="733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22</w:t>
            </w:r>
          </w:p>
        </w:tc>
        <w:tc>
          <w:tcPr>
            <w:tcW w:w="1906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Measured status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Capacity review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Fixed (ABC + 6 mo)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Short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Late inbound</w:t>
            </w:r>
          </w:p>
        </w:tc>
      </w:tr>
      <w:tr>
        <w:tc>
          <w:tcPr>
            <w:tcW w:w="733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23</w:t>
            </w:r>
          </w:p>
        </w:tc>
        <w:tc>
          <w:tcPr>
            <w:tcW w:w="1906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Public row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Q3 target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Service review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Warehouse flow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Open constraint</w:t>
            </w:r>
          </w:p>
        </w:tc>
      </w:tr>
      <w:tr>
        <w:tc>
          <w:tcPr>
            <w:tcW w:w="733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24</w:t>
            </w:r>
          </w:p>
        </w:tc>
        <w:tc>
          <w:tcPr>
            <w:tcW w:w="1906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Compact planning marker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Open item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Demand transfer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Exception marker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Delta marker</w:t>
            </w:r>
          </w:p>
        </w:tc>
      </w:tr>
      <w:tr>
        <w:tc>
          <w:tcPr>
            <w:tcW w:w="733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25</w:t>
            </w:r>
          </w:p>
        </w:tc>
        <w:tc>
          <w:tcPr>
            <w:tcW w:w="1906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Review marker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North-West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Fixed (ABC + 6 mo)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Gamma marker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Supply review</w:t>
            </w:r>
          </w:p>
        </w:tc>
      </w:tr>
      <w:tr>
        <w:tc>
          <w:tcPr>
            <w:tcW w:w="733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26</w:t>
            </w:r>
          </w:p>
        </w:tc>
        <w:tc>
          <w:tcPr>
            <w:tcW w:w="1906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Measured status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Fixed (ABC + 6 mo)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Service review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Projected coverage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Late inbound</w:t>
            </w:r>
          </w:p>
        </w:tc>
      </w:tr>
      <w:tr>
        <w:tc>
          <w:tcPr>
            <w:tcW w:w="733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27</w:t>
            </w:r>
          </w:p>
        </w:tc>
        <w:tc>
          <w:tcPr>
            <w:tcW w:w="1906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Public row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Capacity review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Demand transfer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Risk class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Open constraint</w:t>
            </w:r>
          </w:p>
        </w:tc>
      </w:tr>
      <w:tr>
        <w:tc>
          <w:tcPr>
            <w:tcW w:w="733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28</w:t>
            </w:r>
          </w:p>
        </w:tc>
        <w:tc>
          <w:tcPr>
            <w:tcW w:w="1906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Compact planning marker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Q3 target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Fixed (ABC + 6 mo)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Short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Delta marker</w:t>
            </w:r>
          </w:p>
        </w:tc>
      </w:tr>
      <w:tr>
        <w:tc>
          <w:tcPr>
            <w:tcW w:w="733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29</w:t>
            </w:r>
          </w:p>
        </w:tc>
        <w:tc>
          <w:tcPr>
            <w:tcW w:w="1906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Review marker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Open item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Service review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Warehouse flow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Supply review</w:t>
            </w:r>
          </w:p>
        </w:tc>
      </w:tr>
      <w:tr>
        <w:tc>
          <w:tcPr>
            <w:tcW w:w="733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30</w:t>
            </w:r>
          </w:p>
        </w:tc>
        <w:tc>
          <w:tcPr>
            <w:tcW w:w="1906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Measured status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North-West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Demand transfer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Exception marker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Late inbound</w:t>
            </w:r>
          </w:p>
        </w:tc>
      </w:tr>
      <w:tr>
        <w:tc>
          <w:tcPr>
            <w:tcW w:w="733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31</w:t>
            </w:r>
          </w:p>
        </w:tc>
        <w:tc>
          <w:tcPr>
            <w:tcW w:w="1906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Public row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Fixed (ABC + 6 mo)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Fixed (ABC + 6 mo)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Gamma marker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Open constraint</w:t>
            </w:r>
          </w:p>
        </w:tc>
      </w:tr>
      <w:tr>
        <w:tc>
          <w:tcPr>
            <w:tcW w:w="733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32</w:t>
            </w:r>
          </w:p>
        </w:tc>
        <w:tc>
          <w:tcPr>
            <w:tcW w:w="1906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Compact planning marker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Capacity review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Service review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Projected coverage</w:t>
            </w:r>
          </w:p>
        </w:tc>
        <w:tc>
          <w:tcPr>
            <w:tcW w:w="1320" w:type="dxa"/>
            <w:shd w:val="clear" w:fill="F2F2F2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Delta marker</w:t>
            </w:r>
          </w:p>
        </w:tc>
      </w:tr>
    </w:tbl>
    <w:p>
      <w:pPr>
        <w:pStyle w:val="Heading1"/>
      </w:pPr>
      <w:r>
        <w:t>Kept public heading</w:t>
      </w:r>
    </w:p>
    <w:tbl>
      <w:tblPr>
        <w:tblW w:w="5000" w:type="pc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3"/>
        <w:gridCol w:w="7333"/>
      </w:tblGrid>
      <w:tr>
        <w:tc>
          <w:tcPr>
            <w:tcW w:w="733" w:type="dxa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N1</w:t>
            </w:r>
          </w:p>
        </w:tc>
        <w:tc>
          <w:tcPr>
            <w:tcW w:w="7333" w:type="dxa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Following compact table row after a styled keep-next heading.</w:t>
            </w:r>
          </w:p>
        </w:tc>
      </w:tr>
      <w:tr>
        <w:tc>
          <w:tcPr>
            <w:tcW w:w="733" w:type="dxa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N2</w:t>
            </w:r>
          </w:p>
        </w:tc>
        <w:tc>
          <w:tcPr>
            <w:tcW w:w="7333" w:type="dxa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Following compact table row after a styled keep-next heading.</w:t>
            </w:r>
          </w:p>
        </w:tc>
      </w:tr>
      <w:tr>
        <w:tc>
          <w:tcPr>
            <w:tcW w:w="733" w:type="dxa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N3</w:t>
            </w:r>
          </w:p>
        </w:tc>
        <w:tc>
          <w:tcPr>
            <w:tcW w:w="7333" w:type="dxa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Following compact table row after a styled keep-next heading.</w:t>
            </w:r>
          </w:p>
        </w:tc>
      </w:tr>
      <w:tr>
        <w:tc>
          <w:tcPr>
            <w:tcW w:w="733" w:type="dxa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N4</w:t>
            </w:r>
          </w:p>
        </w:tc>
        <w:tc>
          <w:tcPr>
            <w:tcW w:w="7333" w:type="dxa"/>
          </w:tcPr>
          <w:p>
            <w:pPr>
              <w:spacing w:before="36" w:after="0" w:line="276" w:lineRule="auto"/>
            </w:pPr>
            <w:r>
              <w:rPr>
                <w:rFonts w:ascii="Calibri" w:hAnsi="Calibri"/>
                <w:sz w:val="18"/>
              </w:rPr>
              <w:t>Following compact table row after a styled keep-next heading.</w:t>
            </w:r>
          </w:p>
        </w:tc>
      </w:tr>
    </w:tbl>
    <w:sectPr>
      <w:pgSz w:w="11900" w:h="8640"/>
      <w:pgMar w:top="720" w:right="1440" w:bottom="72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0"/>
      </w:rPr>
    </w:rPrDefault>
    <w:pPrDefault>
      <w:pPr>
        <w:spacing w:after="160" w:line="276" w:lineRule="auto"/>
      </w:pPr>
    </w:pPrDefault>
  </w:docDefaults>
  <w:style w:type="paragraph" w:styleId="Heading1">
    <w:name w:val="heading 1"/>
    <w:basedOn w:val="Normal"/>
    <w:pPr>
      <w:keepNext/>
      <w:keepLines/>
      <w:spacing w:before="480" w:after="120" w:line="276" w:lineRule="auto"/>
    </w:pPr>
    <w:rPr>
      <w:rFonts w:ascii="Calibri Light" w:hAnsi="Calibri Light"/>
      <w:b/>
      <w:color w:val="2F5597"/>
      <w:sz w:val="28"/>
    </w:rPr>
  </w:style>
</w:styles>
</file>

<file path=word/_rels/document.xml.rels><?xml version="1.0" encoding="UTF-8"?>
<Relationships xmlns="http://schemas.openxmlformats.org/package/2006/relationships">
  <Relationship Id="rIdStyles" Type="http://schemas.openxmlformats.org/officeDocument/2006/relationships/styles" Target="styles.xml"/>
</Relationships>
</file>