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rFonts w:ascii="Arial" w:hAnsi="Arial"/>
          <w:sz w:val="28"/>
        </w:rPr>
        <w:t>DOCX table punctuation wrapping</w:t>
      </w:r>
    </w:p>
    <w:tbl>
      <w:tblPr>
        <w:tblW w:w="5000" w:type="pct"/>
        <w:tblLayout w:type="fixed"/>
      </w:tblPr>
      <w:tblGrid>
        <w:gridCol w:w="733"/>
        <w:gridCol w:w="1906"/>
        <w:gridCol w:w="1320"/>
        <w:gridCol w:w="1320"/>
        <w:gridCol w:w="1320"/>
        <w:gridCol w:w="1320"/>
      </w:tblGrid>
      <w:tr>
        <w:tc>
          <w:tcPr>
            <w:tcW w:w="733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01</w:t>
            </w:r>
          </w:p>
        </w:tc>
        <w:tc>
          <w:tcPr>
            <w:tcW w:w="1906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Alpha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North-West/2026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North-West/2026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Review-ready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Review-ready</w:t>
            </w:r>
          </w:p>
        </w:tc>
      </w:tr>
      <w:tr>
        <w:tc>
          <w:tcPr>
            <w:tcW w:w="733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02</w:t>
            </w:r>
          </w:p>
        </w:tc>
        <w:tc>
          <w:tcPr>
            <w:tcW w:w="1906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Beta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Short value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Short value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policy-eligibility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policy-eligibility</w:t>
            </w:r>
          </w:p>
        </w:tc>
      </w:tr>
      <w:tr>
        <w:tc>
          <w:tcPr>
            <w:tcW w:w="733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03</w:t>
            </w:r>
          </w:p>
        </w:tc>
        <w:tc>
          <w:tcPr>
            <w:tcW w:w="1906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Gamma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Plan A/B/C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Plan A/B/C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singlelongtoken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singlelongtoken</w:t>
            </w:r>
          </w:p>
        </w:tc>
      </w:tr>
      <w:tr>
        <w:tc>
          <w:tcPr>
            <w:tcW w:w="733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04</w:t>
            </w:r>
          </w:p>
        </w:tc>
        <w:tc>
          <w:tcPr>
            <w:tcW w:w="1906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Delta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X-12 / Y-34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X-12 / Y-34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baseline-check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baseline-check</w:t>
            </w:r>
          </w:p>
        </w:tc>
      </w:tr>
      <w:tr>
        <w:tc>
          <w:tcPr>
            <w:tcW w:w="733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05</w:t>
            </w:r>
          </w:p>
        </w:tc>
        <w:tc>
          <w:tcPr>
            <w:tcW w:w="1906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Epsilon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No punctuation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No punctuation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two words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two words</w:t>
            </w:r>
          </w:p>
        </w:tc>
      </w:tr>
      <w:tr>
        <w:tc>
          <w:tcPr>
            <w:tcW w:w="733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06</w:t>
            </w:r>
          </w:p>
        </w:tc>
        <w:tc>
          <w:tcPr>
            <w:tcW w:w="1906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Zeta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North-West/2026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North-West/2026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policy-eligibility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policy-eligibility</w:t>
            </w:r>
          </w:p>
        </w:tc>
      </w:tr>
      <w:tr>
        <w:tc>
          <w:tcPr>
            <w:tcW w:w="733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07</w:t>
            </w:r>
          </w:p>
        </w:tc>
        <w:tc>
          <w:tcPr>
            <w:tcW w:w="1906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Eta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A/B/C/D/E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A/B/C/D/E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dash-separated-value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dash-separated-value</w:t>
            </w:r>
          </w:p>
        </w:tc>
      </w:tr>
      <w:tr>
        <w:tc>
          <w:tcPr>
            <w:tcW w:w="733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08</w:t>
            </w:r>
          </w:p>
        </w:tc>
        <w:tc>
          <w:tcPr>
            <w:tcW w:w="1906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Theta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Short value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Short value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  <w:shd w:val="clear" w:color="auto" w:fill="F2F2F2"/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singlelongtoken</w:t>
            </w:r>
          </w:p>
        </w:tc>
        <w:tc>
          <w:tcPr>
            <w:tcW w:w="1320" w:type="dxa"/>
            <w:tcMar>
              <w:top w:w="0" w:type="dxa"/>
              <w:bottom w:w="0" w:type="dxa"/>
              <w:left w:w="108" w:type="dxa"/>
              <w:right w:w="108" w:type="dxa"/>
            </w:tcMar>
          </w:tcPr>
          <w:p>
            <w:pPr>
              <w:spacing w:before="36" w:after="0" w:line="276" w:lineRule="auto"/>
            </w:pPr>
            <w:r>
              <w:rPr>
                <w:rFonts w:ascii="Arial" w:hAnsi="Arial"/>
                <w:sz w:val="18"/>
              </w:rPr>
              <w:t>singlelongtoken</w:t>
            </w:r>
          </w:p>
        </w:tc>
      </w:tr>
    </w:tbl>
    <w:p>
      <w:pPr>
        <w:spacing w:before="480" w:after="120"/>
      </w:pPr>
      <w:r>
        <w:rPr>
          <w:rFonts w:ascii="Arial" w:hAnsi="Arial"/>
          <w:sz w:val="28"/>
        </w:rPr>
        <w:t>After table marker</w:t>
      </w:r>
    </w:p>
    <w:sectPr>
      <w:pgSz w:w="12240" w:h="15840"/>
      <w:pgMar w:top="1440" w:right="1440" w:bottom="1440" w:left="1440"/>
    </w:sectPr>
  </w:body>
</w:document>
</file>