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r>
        <ns0:t xml:space="preserve">Before formula: </ns0:t>
      </ns0:r>
      <ns1:oMathPara>
        <ns1:oMath>
          <ns1:r>
            <ns0:rPr>
              <ns0:rFonts ns0:ascii="Cambria Math" ns0:hAnsi="Cambria Math"/>
            </ns0:rPr>
            <ns1:t xml:space="preserve">α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β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γ</ns1:t>
          </ns1:r>
        </ns1:oMath>
      </ns1:oMathPara>
      <ns0:r>
        <ns0:t xml:space="preserve"> and </ns0:t>
      </ns0:r>
      <ns1:oMathPara>
        <ns1:oMath>
          <ns1:r>
            <ns0:rPr>
              <ns0:rFonts ns0:ascii="Cambria Math" ns0:hAnsi="Cambria Math"/>
            </ns0:rPr>
            <ns1:t xml:space="preserve">α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β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γ</ns1:t>
          </ns1:r>
        </ns1:oMath>
      </ns1:oMathPara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