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  <ns0:vAlign ns0:val="top"/>
            <ns0:vMerge ns0:val="restart"/>
          </ns0:tcPr>
          <ns0:p>
            <ns0:r>
              <ns0:rPr>
                <ns0:sz ns0:val="22"/>
              </ns0:rPr>
              <ns0:t>Public merged prose.</ns0:t>
            </ns0:r>
          </ns0:p>
        </ns0:tc>
      </ns0:tr>
      <ns0:tr>
        <ns0:tc>
          <ns0:tcPr>
            <ns0:tcW ns0:w="6000" ns0:type="dxa"/>
            <ns0:vAlign ns0:val="top"/>
            <ns0:vMerge ns0:val="continue"/>
          </ns0:tcPr>
          <ns0:p>
            <ns0:pPr>
              <ns0:rPr>
                <ns0:sz ns0:val="40"/>
              </ns0:rPr>
            </ns0:pPr>
          </ns0:p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