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</ns0:tblGrid>
      <ns0:tr>
        <ns0:tc>
          <ns0:tcPr>
            <ns0:tcW ns0:w="6000" ns0:type="dxa"/>
            <ns0:vAlign ns0:val="top"/>
            <ns0:vMerge ns0:val="restart"/>
          </ns0:tcPr>
          <ns0:p>
            <ns0:pPr>
              <ns0:rPr>
                <ns0:sz ns0:val="40"/>
                <ns0:rFonts ns0:ascii="Cambria Math" ns0:hAnsi="Cambria Math"/>
              </ns0:rPr>
            </ns0:pPr>
            <ns0:r>
              <ns0:rPr>
                <ns0:sz ns0:val="22"/>
              </ns0:rPr>
              <ns0:t>Public merged prose.</ns0:t>
            </ns0:r>
          </ns0:p>
        </ns0:tc>
      </ns0:tr>
      <ns0:tr>
        <ns0:tc>
          <ns0:tcPr>
            <ns0:tcW ns0:w="6000" ns0:type="dxa"/>
            <ns0:vAlign ns0:val="top"/>
            <ns0:vMerge ns0:val="continue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