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>
  <ns0:body>
    <ns0:p>
      <ns0:r>
        <ns0:t>Before public math table.</ns0:t>
      </ns0:r>
    </ns0:p>
    <ns0:tbl>
      <ns0:tblPr>
        <ns0:tblW ns0:w="6000" ns0:type="dxa"/>
        <ns0:tblLayout ns0:type="fixed"/>
        <ns0:tblCellMar>
          <ns0:top ns0:w="0" ns0:type="dxa"/>
          <ns0:bottom ns0:w="0" ns0:type="dxa"/>
          <ns0:left ns0:w="108" ns0:type="dxa"/>
          <ns0:right ns0:w="108" ns0:type="dxa"/>
        </ns0:tblCellMar>
      </ns0:tblPr>
      <ns0:tblGrid>
        <ns0:gridCol ns0:w="6000"/>
      </ns0:tblGrid>
      <ns0:tr>
        <ns0:tc>
          <ns0:tcPr>
            <ns0:tcW ns0:w="6000" ns0:type="dxa"/>
            <ns0:vAlign ns0:val="top"/>
            <ns0:vMerge ns0:val="restart"/>
          </ns0:tcPr>
          <ns0:p>
            <ns0:r>
              <ns0:rPr>
                <ns0:sz ns0:val="22"/>
              </ns0:rPr>
              <ns0:t>Public first merged paragraph.</ns0:t>
            </ns0:r>
          </ns0:p>
          <ns0:p>
            <ns0:pPr>
              <ns0:rPr>
                <ns0:sz ns0:val="40"/>
              </ns0:rPr>
            </ns0:pPr>
            <ns0:r>
              <ns0:rPr>
                <ns0:sz ns0:val="22"/>
              </ns0:rPr>
              <ns0:t>Public second merged paragraph.</ns0:t>
            </ns0:r>
          </ns0:p>
        </ns0:tc>
      </ns0:tr>
      <ns0:tr>
        <ns0:tc>
          <ns0:tcPr>
            <ns0:tcW ns0:w="6000" ns0:type="dxa"/>
            <ns0:vAlign ns0:val="top"/>
            <ns0:vMerge ns0:val="continue"/>
          </ns0:tcPr>
          <ns0:p/>
        </ns0:tc>
      </ns0:tr>
    </ns0:tbl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