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80C9" w14:textId="77777777" w:rsidR="006B2E48" w:rsidRPr="006B2E48" w:rsidRDefault="006B2E48" w:rsidP="006B2E48">
      <w:pPr>
        <w:spacing w:after="240"/>
        <w:rPr>
          <w:rFonts w:ascii="Arial" w:hAnsi="Arial" w:cs="Arial"/>
          <w:b/>
          <w:color w:val="2F80ED"/>
          <w:sz w:val="48"/>
        </w:rPr>
      </w:pPr>
      <w:r w:rsidRPr="006B2E48">
        <w:rPr>
          <w:rFonts w:ascii="Arial" w:hAnsi="Arial" w:cs="Arial"/>
          <w:b/>
          <w:color w:val="2F80ED"/>
          <w:sz w:val="48"/>
        </w:rPr>
        <w:t>Quarterly memo</w:t>
      </w:r>
    </w:p>
    <w:p w14:paraId="31CE9FF9" w14:textId="77777777" w:rsidR="006B2E48" w:rsidRPr="006B2E48" w:rsidRDefault="006B2E48" w:rsidP="006B2E48">
      <w:pPr>
        <w:spacing w:after="240"/>
        <w:rPr>
          <w:rFonts w:ascii="Arial" w:hAnsi="Arial" w:cs="Arial"/>
          <w:color w:val="1E1E1E"/>
        </w:rPr>
      </w:pPr>
      <w:r w:rsidRPr="006B2E48">
        <w:rPr>
          <w:rFonts w:ascii="Arial" w:hAnsi="Arial" w:cs="Arial"/>
          <w:color w:val="1E1E1E"/>
        </w:rPr>
        <w:t>Revenue grew across regions with stable margins.</w:t>
      </w:r>
    </w:p>
    <w:p w14:paraId="3C7BA099" w14:textId="5EDBDDEF" w:rsidR="00FF5763" w:rsidRPr="006B2E48" w:rsidRDefault="006B2E48" w:rsidP="006B2E48">
      <w:pPr>
        <w:jc w:val="center"/>
        <w:rPr>
          <w:rFonts w:ascii="Arial" w:hAnsi="Arial" w:cs="Arial"/>
          <w:i/>
          <w:color w:val="27AE60"/>
          <w:sz w:val="28"/>
        </w:rPr>
      </w:pPr>
      <w:r w:rsidRPr="006B2E48">
        <w:rPr>
          <w:rFonts w:ascii="Arial" w:hAnsi="Arial" w:cs="Arial"/>
          <w:i/>
          <w:color w:val="27AE60"/>
          <w:sz w:val="28"/>
        </w:rPr>
        <w:t>Centered note</w:t>
      </w:r>
    </w:p>
    <w:sectPr w:rsidR="00FF5763" w:rsidRPr="006B2E48" w:rsidSect="006B2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