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r>
        <w:t>Before public math table.</w:t>
      </w:r>
    </w:p>
    <w:tbl>
      <w:tblPr>
        <w:tblW w:w="6000" w:type="dxa"/>
        <w:tblLayout w:type="fixed"/>
        <w:tblCellMar>
          <w:top w:w="0" w:type="dxa"/>
          <w:bottom w:w="0" w:type="dxa"/>
          <w:left w:w="108" w:type="dxa"/>
          <w:right w:w="108" w:type="dxa"/>
        </w:tblCellMar>
      </w:tblPr>
      <w:tblGrid>
        <w:gridCol w:w="6000"/>
      </w:tblGrid>
      <w:tr>
        <w:trPr>
          <w:trHeight w:hRule="exact"/>
        </w:trPr>
        <w:tc>
          <w:tcPr>
            <w:tcW w:w="6000" w:type="dxa"/>
            <w:vAlign w:val="top"/>
          </w:tcPr>
          <w:p>
            <ns0:oMathPara xmlns:ns0="http://schemas.openxmlformats.org/officeDocument/2006/math">
              <ns0:oMath>
                <ns0:f>
                  <ns0:num>
                    <ns0:r>
                      <w:rPr>
                        <w:rFonts w:ascii="Cambria Math" w:hAnsi="Cambria Math"/>
                      </w:rPr>
                      <ns0:t xml:space="preserve">x</ns0:t>
                    </ns0:r>
                    <ns0:r>
                      <w:rPr>
                        <w:rFonts w:ascii="Cambria Math" w:hAnsi="Cambria Math"/>
                      </w:rPr>
                      <ns0:t xml:space="preserve">+</ns0:t>
                    </ns0:r>
                    <ns0:r>
                      <w:rPr>
                        <w:rFonts w:ascii="Cambria Math" w:hAnsi="Cambria Math"/>
                      </w:rPr>
                      <ns0:t xml:space="preserve">2</ns0:t>
                    </ns0:r>
                  </ns0:num>
                  <ns0:den>
                    <ns0:r>
                      <w:rPr>
                        <w:rFonts w:ascii="Cambria Math" w:hAnsi="Cambria Math"/>
                      </w:rPr>
                      <ns0:t xml:space="preserve">y</ns0:t>
                    </ns0:r>
                  </ns0:den>
                </ns0:f>
              </ns0:oMath>
            </ns0:oMathPara>
          </w:p>
        </w:tc>
      </w:tr>
    </w:tbl>
    <w:p>
      <w:r>
        <w:t>After public math table.</w:t>
      </w:r>
    </w:p>
    <w:sectPr>
      <w:pgSz w:w="11906" w:h="16838" w:orient="portrait"/>
      <w:pgMar w:top="1440" w:right="1440" w:bottom="1440" w:left="1440" w:header="720" w:footer="720" w:gutter="0"/>
      <w:cols w:num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