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 xmlns:w="http://schemas.openxmlformats.org/wordprocessingml/2006/main">
  <w:body>
    <w:tbl>
      <w:tblGrid>
        <w:gridCol w:w="9000"/>
      </w:tblGrid>
      <w:tr>
        <w:tc>
          <w:tcPr>
            <w:tcW w:w="9000" w:type="dxa"/>
            <w:shd w:val="clear" w:fill="FFFFCC"/>
            <w:tcPrChange w:id="711" w:author="Table Editor" w:date="2026-10-17T00:00:00Z">
              <w:tcPr>
                <w:shd w:val="clear" w:fill="FFFFFF"/>
              </w:tcPr>
            </w:tcPrChange>
          </w:tcPr>
          <w:p>
            <w:pPr>
              <w:numPr>
                <w:ilvl w:val="0"/>
                <w:numId w:val="1"/>
              </w:numPr>
            </w:pPr>
            <w:r>
              <w:t xml:space="preserve">Summary: </w:t>
            </w:r>
            <w:bookmarkStart w:id="1" w:name="Calculation"/>
            <m:oMathPara>
              <m:oMath>
                <m:m>
                  <m:m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sz w:val="24"/>
                            </w:rPr>
                          </m:ctrlPr>
                        </m:fPr>
                        <m:num>
                          <m:r>
                            <m:t>x+2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  <m:e>
                      <m:r>
                        <m:rPr/>
                        <w:rPr>
                          <w:rFonts w:ascii="Cambria Math" w:hAnsi="Cambria Math"/>
                          <w:sz w:val="24"/>
                        </w:rPr>
                        <m:t xml:space="preserve">b</m:t>
                      </m:r>
                    </m:e>
                  </m:mr>
                  <m:mr>
                    <m:e>
                      <m:r>
                        <m:rPr/>
                        <w:rPr>
                          <w:rFonts w:ascii="Cambria Math" w:hAnsi="Cambria Math"/>
                          <w:sz w:val="24"/>
                        </w:rPr>
                        <m:t xml:space="preserve">c</m:t>
                      </m:r>
                    </m:e>
                    <m:e>
                      <m:r>
                        <m:rPr/>
                        <w:rPr>
                          <w:rFonts w:ascii="Cambria Math" w:hAnsi="Cambria Math"/>
                          <w:sz w:val="24"/>
                        </w:rPr>
                        <m:t xml:space="preserve">d</m:t>
                      </m:r>
                    </m:e>
                  </m:mr>
                </m:m>
              </m:oMath>
            </m:oMathPara>
            <w:bookmarkEnd w:id="1"/>
            <w:r>
              <w:t xml:space="preserve"> governs the planning ratio. See </w:t>
            </w:r>
            <w:hyperlink ns2:id="link">
              <w:r>
                <w:t xml:space="preserve">public method notes</w:t>
              </w:r>
            </w:hyperlink>
            <w:r>
              <w:t xml:space="preserve">.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The two relationships </w:t>
            </w:r>
            <m:oMathPara>
              <m:oMath>
                <m:r>
                  <m:t>a+b=c</m:t>
                </m:r>
              </m:oMath>
            </m:oMathPara>
            <w:r>
              <w:t xml:space="preserve"> and </w:t>
            </w:r>
            <m:oMathPara>
              <m:oMath>
                <m:f>
                  <m:num>
                    <m:r>
                      <m:t>x+2</m:t>
                    </m:r>
                  </m:num>
                  <m:den>
                    <m:r>
                      <m:t>y</m:t>
                    </m:r>
                  </m:den>
                </m:f>
              </m:oMath>
            </m:oMathPara>
            <w:r>
              <w:t xml:space="preserve"> share the same input series.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The trend marker </w:t>
            </w:r>
            <w:r>
              <w:drawing>
                <ns3:inline>
                  <ns3:extent cx="457200" cy="228600"/>
                  <ns3:docPr id="1" name="Public trend illustration"/>
                  <ns4:graphic>
                    <ns4:graphicData uri="http://schemas.openxmlformats.org/drawingml/2006/picture">
                      <ns5:pic>
                        <ns5:nvPicPr>
                          <ns5:cNvPr id="1" name="Public trend illustration"/>
                          <ns5:cNvPicPr/>
                        </ns5:nvPicPr>
                        <ns5:blipFill>
                          <ns4:blip ns2:embed="image"/>
                          <ns4:stretch>
                            <ns4:fillRect/>
                          </ns4:stretch>
                        </ns5:blipFill>
                        <ns5:spPr>
                          <ns4:xfrm>
                            <ns4:off x="0" y="0"/>
                            <ns4:ext cx="457200" cy="228600"/>
                          </ns4:xfrm>
                          <ns4:prstGeom prst="rect">
                            <ns4:avLst/>
                          </ns4:prstGeom>
                        </ns5:spPr>
                      </ns5:pic>
                    </ns4:graphicData>
                  </ns4:graphic>
                </ns3:inline>
              </w:drawing>
            </w:r>
            <w:r>
              <w:t xml:space="preserve"> accompanies the calculation </w:t>
            </w:r>
            <m:oMathPara>
              <m:oMath>
                <m:r>
                  <m:t>a+b=c</m:t>
                </m:r>
              </m:oMath>
            </m:oMathPara>
            <w:r>
              <w:t xml:space="preserve"> without replacing it.</w:t>
            </w:r>
          </w:p>
        </w:tc>
      </w:tr>
    </w:tbl>
    <w:sectPr>
      <w:pgSz w:w="12240" w:h="15840"/>
      <w:pgMar w:top="1440" w:right="1440" w:bottom="1440" w:left="1440" w:header="720" w:footer="720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