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tbl>
    <w:tblGrid>
      <w:gridCol w:w="9000"/>
    </w:tblGrid>
    <w:tr>
      <w:tc>
        <w:tcPr>
          <w:tcW w:w="9000" w:type="dxa"/>
          <w:shd w:val="clear" w:fill="FFFFCC"/>
          <w:tcPrChange w:id="711" w:author="Table Editor" w:date="2026-10-17T00:00:00Z">
            <w:tcPr>
              <w:shd w:val="clear" w:fill="FFFFFF"/>
            </w:tcPr>
          </w:tcPrChange>
        </w:tcPr>
        <w:p>
          <w:pPr>
            <w:numPr>
              <w:ilvl w:val="0"/>
              <w:numId w:val="1"/>
            </w:numPr>
          </w:pPr>
          <w:r>
            <w:t xml:space="preserve">Summary: </w:t>
          </w:r>
          <w:bookmarkStart w:id="1" w:name="Calculation"/>
          <m:oMathPara>
            <m:oMath>
              <m:m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r>
                          <m:t>x+2</m:t>
                        </m:r>
                      </m:num>
                      <m:den>
                        <m:r>
                          <m:t>y</m:t>
                        </m:r>
                      </m:den>
                    </m:f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b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c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d</m:t>
                    </m:r>
                  </m:e>
                </m:mr>
              </m:m>
            </m:oMath>
          </m:oMathPara>
          <w:bookmarkEnd w:id="1"/>
          <w:r>
            <w:t xml:space="preserve"> governs the planning ratio. See </w:t>
          </w:r>
          <w:hyperlink ns2:id="link">
            <w:r>
              <w:t xml:space="preserve">public method notes</w:t>
            </w:r>
          </w:hyperlink>
          <w:r>
            <w:t xml:space="preserve">.</w:t>
          </w:r>
        </w:p>
        <w:p>
          <w:pPr>
            <w:numPr>
              <w:ilvl w:val="0"/>
              <w:numId w:val="1"/>
            </w:numPr>
          </w:pPr>
          <w:r>
            <w:t xml:space="preserve">The two relationships </w:t>
          </w:r>
          <m:oMathPara>
            <m:oMath>
              <m:r>
                <m:t>a+b=c</m:t>
              </m:r>
            </m:oMath>
          </m:oMathPara>
          <w:r>
            <w:t xml:space="preserve"> and </w:t>
          </w:r>
          <m:oMathPara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</m:oMathPara>
          <w:r>
            <w:t xml:space="preserve"> share the same input series.</w:t>
          </w:r>
        </w:p>
        <w:p>
          <w:pPr>
            <w:numPr>
              <w:ilvl w:val="0"/>
              <w:numId w:val="1"/>
            </w:numPr>
          </w:pPr>
          <w:r>
            <w:t xml:space="preserve">The trend marker </w:t>
          </w:r>
          <w:r>
            <w:drawing>
              <ns3:inline>
                <ns3:extent cx="457200" cy="228600"/>
                <ns3:docPr id="1" name="Public trend illustration"/>
                <ns4:graphic>
                  <ns4:graphicData uri="http://schemas.openxmlformats.org/drawingml/2006/picture">
                    <ns5:pic>
                      <ns5:nvPicPr>
                        <ns5:cNvPr id="1" name="Public trend illustration"/>
                        <ns5:cNvPicPr/>
                      </ns5:nvPicPr>
                      <ns5:blipFill>
                        <ns4:blip ns2:embed="image"/>
                        <ns4:stretch>
                          <ns4:fillRect/>
                        </ns4:stretch>
                      </ns5:blipFill>
                      <ns5:spPr>
                        <ns4:xfrm>
                          <ns4:off x="0" y="0"/>
                          <ns4:ext cx="457200" cy="228600"/>
                        </ns4:xfrm>
                        <ns4:prstGeom prst="rect">
                          <ns4:avLst/>
                        </ns4:prstGeom>
                      </ns5:spPr>
                    </ns5:pic>
                  </ns4:graphicData>
                </ns4:graphic>
              </ns3:inline>
            </w:drawing>
          </w:r>
          <w:r>
            <w:t xml:space="preserve"> accompanies the calculation </w:t>
          </w:r>
          <m:oMathPara>
            <m:oMath>
              <m:r>
                <m:t>a+b=c</m:t>
              </m:r>
            </m:oMath>
          </m:oMathPara>
          <w:r>
            <w:t xml:space="preserve"> without replacing it.</w:t>
          </w:r>
        </w:p>
      </w:tc>
    </w:tr>
  </w:tbl>
  <w:p/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