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r>
        <w:t>After public math table.</w:t>
      </w:r>
    </w:p>
    <w:sectPr>
      <w:foot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m:oMathPara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y</m:t>
        </m:r>
      </m:oMath>
    </m:oMathPara>
  </w:p>
  <w:p>
    <w:r>
      <w:t>Following public footer prose.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footer" Target="footer1.xml"/></Relationships>
</file>