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r>
      <w:t>Public inline guard </w:t>
    </w:r>
    <m:oMath>
      <m:f>
        <m:num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</m:num>
        <m:den>
          <m:r>
            <w:rPr>
              <w:rFonts w:ascii="Cambria Math" w:hAnsi="Cambria Math"/>
            </w:rPr>
            <m:t xml:space="preserve">y</m:t>
          </m:r>
        </m:den>
      </m:f>
    </m:oMath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/Relationships>
</file>