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w:r>
        <w:t>After public math table.</w:t>
      </w:r>
    </w:p>
    <w:sectPr>
      <w:head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m:oMathPara>
      <m:oMath>
        <m:sSubSup>
          <m:e>
            <m:r>
              <w:rPr>
                <w:rFonts w:ascii="Cambria Math" w:hAnsi="Cambria Math"/>
              </w:rPr>
              <m:t xml:space="preserve">α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</m:oMathPara>
  </w:p>
  <w:p>
    <w:r>
      <w:t>Following public header prose.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header" Target="header1.xml"/></Relationships>
</file>