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m="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Replenishment calculation specification</w:t>
      </w:r>
    </w:p>
    <w:p>
      <w:r>
        <w:t xml:space="preserve">Calculation inputs and acceptance criteria</w:t>
      </w:r>
    </w:p>
    <w:p>
      <w:r>
        <w:t xml:space="preserve">Summary: </w:t>
      </w:r>
      <w:bookmarkStart w:id="1" w:name="Calculation"/>
      <m:oMath>
        <m:rad>
          <m:radPr>
            <m:degHide m:val="1"/>
            <m:ctrlPr>
              <w:rPr>
                <w:rFonts w:ascii="Cambria Math" w:hAnsi="Cambria Math"/>
                <w:sz w:val="24"/>
              </w:rPr>
            </m:ctrlPr>
          </m:radPr>
          <m:deg/>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rad>
      </m:oMath>
      <w:bookmarkEnd w:id="1"/>
      <w:r>
        <w:t xml:space="preserve"> governs the planning ratio. See </w:t>
      </w:r>
      <w:hyperlink ns2:id="link">
        <w:r>
          <w:t xml:space="preserve">public method notes</w:t>
        </w:r>
      </w:hyperlink>
      <w:r>
        <w:t xml:space="preserve">.</w:t>
      </w:r>
    </w:p>
    <w:p>
      <w:r>
        <w:t xml:space="preserve">The two relationships </w:t>
      </w:r>
      <m:oMath>
        <m:nary>
          <m:naryPr>
            <m:chr m:val="∑"/>
            <m:limLoc m:val="subSup"/>
            <m:ctrlPr>
              <w:rPr>
                <w:rFonts w:ascii="Cambria Math" w:hAnsi="Cambria Math"/>
                <w:sz w:val="24"/>
              </w:rPr>
            </m:ctrlPr>
          </m:naryPr>
          <m:sub>
            <m:r>
              <m:rPr/>
              <w:rPr>
                <w:rFonts w:ascii="Cambria Math" w:hAnsi="Cambria Math"/>
                <w:sz w:val="24"/>
              </w:rPr>
              <m:t xml:space="preserve">i</m:t>
            </m:r>
          </m:sub>
          <m:sup>
            <m:r>
              <m:rPr/>
              <w:rPr>
                <w:rFonts w:ascii="Cambria Math" w:hAnsi="Cambria Math"/>
                <w:sz w:val="24"/>
              </w:rPr>
              <m:t xml:space="preserve">n</m:t>
            </m:r>
          </m:sup>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nary>
      </m:oMath>
      <w:r>
        <w:t xml:space="preserve"> and </w:t>
      </w:r>
      <m:oMath>
        <m:f>
          <m:num>
            <m:r>
              <m:t>x+2</m:t>
            </m:r>
          </m:num>
          <m:den>
            <m:r>
              <m:t>y</m:t>
            </m:r>
          </m:den>
        </m:f>
      </m:oMath>
      <w:r>
        <w:t xml:space="preserve"> share the same input series.</w:t>
      </w:r>
    </w:p>
    <w:p>
      <w:r>
        <w:t xml:space="preserve">The trend marker </w:t>
      </w:r>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nary>
                <m:naryPr>
                  <m:chr m:val="∏"/>
                  <m:limLoc m:val="undOvr"/>
                  <m:ctrlPr>
                    <w:rPr>
                      <w:rFonts w:ascii="Cambria Math" w:hAnsi="Cambria Math"/>
                      <w:sz w:val="24"/>
                    </w:rPr>
                  </m:ctrlPr>
                </m:naryPr>
                <m:sub>
                  <m:r>
                    <m:rPr/>
                    <w:rPr>
                      <w:rFonts w:ascii="Cambria Math" w:hAnsi="Cambria Math"/>
                      <w:sz w:val="24"/>
                    </w:rPr>
                    <m:t xml:space="preserve">i</m:t>
                  </m:r>
                </m:sub>
                <m:sup>
                  <m:r>
                    <m:rPr/>
                    <w:rPr>
                      <w:rFonts w:ascii="Cambria Math" w:hAnsi="Cambria Math"/>
                      <w:sz w:val="24"/>
                    </w:rPr>
                    <m:t xml:space="preserve">n</m:t>
                  </m:r>
                </m:sup>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nary>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20.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ns0:footnotes xmlns:ns0="http://schemas.openxmlformats.org/wordprocessingml/2006/main">
  <ns0:footnote ns0:type="separator" ns0:id="-1">
    <ns0:p>
      <ns0:r>
        <ns0:separator/>
      </ns0:r>
    </ns0:p>
  </ns0:footnote>
  <ns0:footnote ns0:id="1">
    <ns0:p>
      <ns0:pPr>
        <ns0:spacing ns0:after="0"/>
      </ns0:pPr>
      <ns0:r>
        <ns0:t xml:space="preserve">All quantities in this synthetic example are illustrative.</ns0:t>
      </ns0:r>
    </ns0:p>
  </ns0:footnote>
</ns0: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