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numbering.xml" ContentType="application/vnd.openxmlformats-officedocument.wordprocessingml.numbering+xml"/>
  <ns0:Override PartName="/word/comments.xml" ContentType="application/vnd.openxmlformats-officedocument.wordprocessingml.comment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pPr>
        <w:pStyle w:val="Title"/>
      </w:pPr>
      <w:r>
        <w:t xml:space="preserve">Quarterly operations report</w:t>
      </w:r>
    </w:p>
    <w:p>
      <w:r>
        <w:t xml:space="preserve">Inventory availability</w:t>
      </w:r>
    </w:p>
    <w:p>
      <w:r>
        <w:t xml:space="preserve">Summary: </w:t>
      </w:r>
      <w:bookmarkStart w:id="1" w:name="Calculation"/>
      <ns1:oMath>
        <ns1:f>
          <ns1:num>
            <ns1:r>
              <ns1:t>x+2</ns1:t>
            </ns1:r>
          </ns1:num>
          <ns1:den>
            <ns1:r>
              <ns1:t>y</ns1:t>
            </ns1:r>
          </ns1:den>
        </ns1:f>
      </ns1:oMath>
      <w:bookmarkEnd w:id="1"/>
      <w:r>
        <w:t xml:space="preserve"> governs </w:t>
      </w:r>
      <w:bookmarkStart w:id="34580" w:name="CacheArticle"/>
      <w:r>
        <w:t xml:space="preserve">the</w:t>
      </w:r>
      <w:bookmarkEnd w:id="34580"/>
      <w:r>
        <w:t xml:space="preserve"> planning ratio. See </w:t>
      </w:r>
      <w:hyperlink ns2:id="link">
        <w:r>
          <w:t xml:space="preserve">public method notes</w:t>
        </w:r>
      </w:hyperlink>
      <w:r>
        <w:t xml:space="preserve">.</w:t>
      </w:r>
    </w:p>
    <w:p>
      <w:r>
        <w:t xml:space="preserve">The two relationships </w:t>
      </w:r>
      <ns1:oMath>
        <ns1:r>
          <ns1:t>a+b=c</ns1:t>
        </ns1:r>
      </ns1:oMath>
      <w:r>
        <w:t xml:space="preserve"> and </w:t>
      </w:r>
      <ns1:oMath>
        <ns1:f>
          <ns1:num>
            <ns1:r>
              <ns1:t>x+2</ns1:t>
            </ns1:r>
          </ns1:num>
          <ns1:den>
            <ns1:r>
              <ns1:t>y</ns1:t>
            </ns1:r>
          </ns1:den>
        </ns1:f>
      </ns1:oMath>
      <w:r>
        <w:t xml:space="preserve"> share the same input series.</w:t>
      </w:r>
    </w:p>
    <w:p>
      <w:commentRangeStart w:id="0"/>
      <w:hyperlink ns2:id="link">
        <w:r>
          <w:t xml:space="preserve">The trend marker </w:t>
        </w:r>
      </w:hyperlink>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w:t>
      </w:r>
      <w:r>
        <w:fldChar w:fldCharType="begin"/>
        <w:instrText xml:space="preserve"> REF CacheArticle </w:instrText>
        <w:fldChar w:fldCharType="separate"/>
        <w:t xml:space="preserve">the</w:t>
        <w:fldChar w:fldCharType="end"/>
      </w:r>
      <w:r>
        <w:t xml:space="preserve"> </w:t>
      </w:r>
      <w:bookmarkStart w:id="34581" w:name="CacheCalculation"/>
      <w:r>
        <w:t xml:space="preserve">calculation</w:t>
      </w:r>
      <w:bookmarkEnd w:id="34581"/>
      <w:r>
        <w:t xml:space="preserve"> </w:t>
      </w:r>
      <w:bookmarkStart w:id="2" w:name="ComposedCalculation"/>
      <ns1:oMath>
        <ns1:r>
          <ns1:t>a+b=c</ns1:t>
        </ns1:r>
      </ns1:oMath>
      <w:bookmarkEnd w:id="2"/>
      <w:r>
        <w:t xml:space="preserve"> without replacing it.</w:t>
      </w:r>
      <w:hyperlink w:anchor="ComposedCalculation">
        <w:r>
          <w:t xml:space="preserve"> See </w:t>
        </w:r>
        <w:fldSimple w:instr=" REF CacheCalculation ">
          <w:r>
            <w:t xml:space="preserve">calculation</w:t>
          </w:r>
        </w:fldSimple>
        <w:r>
          <w:t xml:space="preserve">.</w:t>
        </w:r>
      </w:hyperlink>
      <w:commentRangeEnd w:id="0"/>
      <w:r>
        <w:commentReference w:id="0"/>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ns1:oMath>
              <ns1:f>
                <ns1:num>
                  <ns1:r>
                    <ns1:t>x+2</ns1:t>
                  </ns1:r>
                </ns1:num>
                <ns1:den>
                  <ns1:r>
                    <ns1:t>y</ns1:t>
                  </ns1:r>
                </ns1:den>
              </ns1:f>
            </ns1:oMath>
            <w:r>
              <w:endnoteReference w:id="1"/>
            </w:r>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conclusion: the selected assumptions require a documented check.</w:t>
      </w:r>
      <w:r/>
      <w:r>
        <w:t xml:space="preserve"> Supporting note</w:t>
      </w:r>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endnotes.xml><?xml version="1.0" encoding="utf-8"?>
<w:endnotes xmlns:ns1="http://schemas.openxmlformats.org/officeDocument/2006/math" xmlns:w="http://schemas.openxmlformats.org/wordprocessingml/2006/main">
  <w:endnote w:type="separator" w:id="-1">
    <w:p>
      <w:r>
        <w:separator/>
      </w:r>
    </w:p>
  </w:endnote>
  <w:endnote w:id="1">
    <w:p>
      <w:r>
        <w:t xml:space="preserve">All quantities in this synthetic example are illustrative.</w:t>
      </w:r>
      <w:r>
        <w:t xml:space="preserve"> Calculation: </w:t>
      </w:r>
      <w:bookmarkStart w:id="55003" w:name="NoteCalculation"/>
      <ns1:oMath>
        <ns1:f>
          <ns1:num>
            <ns1:r>
              <ns1:t>x+2</ns1:t>
            </ns1:r>
          </ns1:num>
          <ns1:den>
            <ns1:r>
              <ns1:t>y</ns1:t>
            </ns1:r>
          </ns1:den>
        </ns1:f>
      </ns1:oMath>
      <w:bookmarkEnd w:id="55003"/>
      <w:r>
        <w:t xml:space="preserve"> and </w:t>
      </w:r>
      <ns1:oMath>
        <ns1:f>
          <ns1:num>
            <ns1:r>
              <ns1:t>x+2</ns1:t>
            </ns1:r>
          </ns1:num>
          <ns1:den>
            <ns1:r>
              <ns1:t>y</ns1:t>
            </ns1:r>
          </ns1:den>
        </ns1:f>
      </ns1:oMath>
    </w:p>
  </w:endnote>
</w:endnotes>
</file>

<file path=word/footer1.xml><?xml version="1.0" encoding="utf-8"?>
<w:ftr xmlns:w="http://schemas.openxmlformats.org/wordprocessingml/2006/main">
  <w:p>
    <w:r>
      <w:t xml:space="preserve">Public synthetic composition portfolio</w:t>
    </w:r>
  </w:p>
</w:ftr>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xml version='1.0' encoding='utf-8'?>
<ns0:Relationships xmlns:ns0="http://schemas.openxmlformats.org/package/2006/relationships"><ns0:Relationship Id="styles" Type="http://schemas.openxmlformats.org/officeDocument/2006/relationships/styles" Target="styles.xml" /><ns0:Relationship Id="settings" Type="http://schemas.openxmlformats.org/officeDocument/2006/relationships/settings" Target="settings.xml" /><ns0:Relationship Id="numbering" Type="http://schemas.openxmlformats.org/officeDocument/2006/relationships/numbering" Target="numbering.xml" /><ns0:Relationship Id="comments" Type="http://schemas.openxmlformats.org/officeDocument/2006/relationships/comments" Target="comments.xml" /><ns0:Relationship Id="footnotes" Type="http://schemas.openxmlformats.org/officeDocument/2006/relationships/endnotes" Target="endnotes.xml" /><ns0:Relationship Id="header" Type="http://schemas.openxmlformats.org/officeDocument/2006/relationships/header" Target="header1.xml" /><ns0:Relationship Id="footer" Type="http://schemas.openxmlformats.org/officeDocument/2006/relationships/footer" Target="footer1.xml" /><ns0:Relationship Id="image" Type="http://schemas.openxmlformats.org/officeDocument/2006/relationships/image" Target="media/trend.png" /><ns0:Relationship Id="link" Type="http://schemas.openxmlformats.org/officeDocument/2006/relationships/hyperlink" Target="https://example.org/method" TargetMode="External" /></ns0:Relationships>
</file>