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</ns0:p>
    <ns0:p>
      <ns1:oMathPara>
        <ns1:oMathParaPr>
          <ns1:jc ns1:val="left"/>
        </ns1:oMathParaPr>
        <ns1:oMath>
          <ns1:r>
            <ns0:rPr>
              <ns0:rFonts ns0:ascii="Cambria Math" ns0:hAnsi="Cambria Math"/>
            </ns0:rPr>
            <ns1:t xml:space="preserve">α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β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γ</ns1:t>
          </ns1:r>
        </ns1:oMath>
        <ns1:oMath>
          <ns1:r>
            <ns0:rPr>
              <ns0:rFonts ns0:ascii="Cambria Math" ns0:hAnsi="Cambria Math"/>
            </ns0:rPr>
            <ns1:t xml:space="preserve">δ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ε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ζ</ns1:t>
          </ns1:r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