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1:oMathPara>
              <ns1:oMathParaPr>
                <ns1:jc ns1:val="left"/>
              </ns1:oMathParaPr>
              <ns1:oMath>
                <ns1:r>
                  <ns0:rPr>
                    <ns0:rFonts ns0:ascii="Cambria Math" ns0:hAnsi="Cambria Math"/>
                  </ns0:rPr>
                  <ns1:t xml:space="preserve">α</ns1:t>
                </ns1:r>
                <ns1:r>
                  <ns0:rPr>
                    <ns0:rFonts ns0:ascii="Cambria Math" ns0:hAnsi="Cambria Math"/>
                  </ns0:rPr>
                  <ns1:t xml:space="preserve">+</ns1:t>
                </ns1:r>
                <ns1:r>
                  <ns0:rPr>
                    <ns0:rFonts ns0:ascii="Cambria Math" ns0:hAnsi="Cambria Math"/>
                  </ns0:rPr>
                  <ns1:t xml:space="preserve">β</ns1:t>
                </ns1:r>
                <ns1:r>
                  <ns0:rPr>
                    <ns0:rFonts ns0:ascii="Cambria Math" ns0:hAnsi="Cambria Math"/>
                  </ns0:rPr>
                  <ns1:t xml:space="preserve">=</ns1:t>
                </ns1:r>
                <ns1:r>
                  <ns0:rPr>
                    <ns0:rFonts ns0:ascii="Cambria Math" ns0:hAnsi="Cambria Math"/>
                  </ns0:rPr>
                  <ns1:t xml:space="preserve">γ</ns1:t>
                </ns1:r>
              </ns1:oMath>
              <ns1:oMath>
                <ns1:r>
                  <ns0:rPr>
                    <ns0:rFonts ns0:ascii="Cambria Math" ns0:hAnsi="Cambria Math"/>
                  </ns0:rPr>
                  <ns1:t xml:space="preserve">δ</ns1:t>
                </ns1:r>
                <ns1:r>
                  <ns0:rPr>
                    <ns0:rFonts ns0:ascii="Cambria Math" ns0:hAnsi="Cambria Math"/>
                  </ns0:rPr>
                  <ns1:t xml:space="preserve">+</ns1:t>
                </ns1:r>
                <ns1:r>
                  <ns0:rPr>
                    <ns0:rFonts ns0:ascii="Cambria Math" ns0:hAnsi="Cambria Math"/>
                  </ns0:rPr>
                  <ns1:t xml:space="preserve">ε</ns1:t>
                </ns1:r>
                <ns1:r>
                  <ns0:rPr>
                    <ns0:rFonts ns0:ascii="Cambria Math" ns0:hAnsi="Cambria Math"/>
                  </ns0:rPr>
                  <ns1:t xml:space="preserve">=</ns1:t>
                </ns1:r>
                <ns1:r>
                  <ns0:rPr>
                    <ns0:rFonts ns0:ascii="Cambria Math" ns0:hAnsi="Cambria Math"/>
                  </ns0:rPr>
                  <ns1:t xml:space="preserve">ζ</ns1:t>
                </ns1:r>
              </ns1:oMath>
            </ns1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