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 xml:space="preserve">Before formula: </ns0:t>
      </ns0:r>
    </ns0:p>
    <ns0:p>
      <ns0:pPr>
        <ns0:jc ns0:val="both"/>
      </ns0:pPr>
      <ns1:oMathPara>
        <ns1:oMathParaPr>
          <ns1:jc ns1:val="right"/>
        </ns1:oMathParaPr>
        <ns1:oMath>
          <ns1:r>
            <ns0:rPr>
              <ns0:rFonts ns0:ascii="Cambria Math" ns0:hAnsi="Cambria Math"/>
            </ns0:rPr>
            <ns1:t xml:space="preserve">α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β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γ</ns1:t>
          </ns1:r>
        </ns1:oMath>
        <ns1:oMath>
          <ns1:r>
            <ns0:rPr>
              <ns0:rFonts ns0:ascii="Cambria Math" ns0:hAnsi="Cambria Math"/>
            </ns0:rPr>
            <ns1:t xml:space="preserve">δ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ε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ζ</ns1:t>
          </ns1:r>
        </ns1:oMath>
      </ns1:oMathPara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