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Public comment fixture starts before </w:t>
      </w:r>
      <w:commentRangeStart w:id="1"/>
      <w:r>
        <w:t>the reviewed phrase</w:t>
      </w:r>
      <w:commentRangeEnd w:id="1"/>
      <w:r>
        <w:commentReference w:id="1"/>
      </w:r>
      <w:r>
        <w:t> and continues after the marker.</w:t>
      </w:r>
    </w:p>
    <w:p>
      <w:r>
        <w:t>Second body paragraph contains </w:t>
      </w:r>
      <w:commentRangeStart w:id="2"/>
      <w:r>
        <w:t>another public anchor</w:t>
      </w:r>
      <w:commentRangeEnd w:id="2"/>
      <w:r>
        <w:commentReference w:id="2"/>
      </w:r>
      <w:r>
        <w:t> to test ordering.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Reviewer One" w:initials="R1" w:date="2026-06-01T08:00:00Z">
    <w:p w14:paraId="10101010">
      <w:r>
        <w:t>Open parent comment for a body anchor.</w:t>
      </w:r>
    </w:p>
  </w:comment>
  <w:comment w:id="2" w:author="Reviewer Two" w:initials="R2" w:date="2026-06-01T08:05:00Z">
    <w:p w14:paraId="20202020">
      <w:r>
        <w:t>Open second comment for ordering.</w:t>
      </w:r>
    </w:p>
  </w:comment>
</w:comment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</Relationships>
</file>