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CellMar>
          <w:left w:w="216" w:type="dxa"/>
          <w:right w:w="216" w:type="dxa"/>
        </w:tblCellMar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shd w:val="clear" w:fill="99CC88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  <w:color w:val="2030C0"/>
              </w:rPr>
              <w:t>edges-00</w:t>
            </w:r>
          </w:p>
        </w:tc>
        <w:tc>
          <w:tcPr>
            <w:tcW w:w="1920" w:type="dxa"/>
            <w:shd w:val="clear" w:fill="99CC88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  <w:color w:val="2030C0"/>
              </w:rPr>
              <w:t>edges-01</w:t>
            </w:r>
          </w:p>
        </w:tc>
        <w:tc>
          <w:tcPr>
            <w:tcW w:w="1920" w:type="dxa"/>
            <w:shd w:val="clear" w:fill="99CC88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  <w:color w:val="2030C0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  <w:shd w:val="clear" w:fill="99CC88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  <w:color w:val="2030C0"/>
              </w:rPr>
              <w:t>edges-10</w:t>
            </w:r>
          </w:p>
        </w:tc>
        <w:tc>
          <w:tcPr>
            <w:tcW w:w="1920" w:type="dxa"/>
            <w:shd w:val="clear" w:fill="99CC88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  <w:color w:val="2030C0"/>
              </w:rPr>
              <w:t>edges-11</w:t>
            </w:r>
          </w:p>
        </w:tc>
        <w:tc>
          <w:tcPr>
            <w:tcW w:w="1920" w:type="dxa"/>
            <w:shd w:val="clear" w:fill="99CC88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  <w:color w:val="2030C0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  <w:shd w:val="clear" w:fill="99CC88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  <w:color w:val="2030C0"/>
              </w:rPr>
              <w:t>edges-20</w:t>
            </w:r>
          </w:p>
        </w:tc>
        <w:tc>
          <w:tcPr>
            <w:tcW w:w="1920" w:type="dxa"/>
            <w:shd w:val="clear" w:fill="99CC88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  <w:color w:val="2030C0"/>
              </w:rPr>
              <w:t>edges-21</w:t>
            </w:r>
          </w:p>
        </w:tc>
        <w:tc>
          <w:tcPr>
            <w:tcW w:w="1920" w:type="dxa"/>
            <w:shd w:val="clear" w:fill="99CC88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  <w:color w:val="2030C0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