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m="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pPr>
        <w:pStyle w:val="Title"/>
      </w:pPr>
      <w:r>
        <w:t xml:space="preserve">Quarterly operations report</w:t>
      </w:r>
    </w:p>
    <w:p>
      <w:r>
        <w:t xml:space="preserve">Inventory availability</w:t>
      </w:r>
    </w:p>
    <w:p>
      <w:r>
        <w:t xml:space="preserve">Summary: </w:t>
      </w:r>
      <w:bookmarkStart w:id="1" w:name="Calculation"/>
      <m:oMath>
        <m:f>
          <m:num>
            <m:r>
              <m:t>x+2</m:t>
            </m:r>
          </m:num>
          <m:den>
            <m:r>
              <m:t>y</m:t>
            </m:r>
          </m:den>
        </m:f>
      </m:oMath>
      <w:bookmarkEnd w:id="1"/>
      <w:r>
        <w:t xml:space="preserve"> governs </w:t>
      </w:r>
      <w:bookmarkStart w:id="34580" w:name="CacheArticle"/>
      <w:r>
        <w:t xml:space="preserve">the</w:t>
      </w:r>
      <w:bookmarkEnd w:id="34580"/>
      <w:r>
        <w:t xml:space="preserve"> planning ratio. See </w:t>
      </w:r>
      <w:hyperlink ns2: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commentRangeStart w:id="0"/>
      <w:hyperlink ns2:id="link">
        <w:r>
          <w:t xml:space="preserve">The trend marker </w:t>
        </w:r>
      </w:hyperlink>
      <w:r>
        <w: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w:drawing>
      </w:r>
      <w:r>
        <w:t xml:space="preserve"> accompanies </w:t>
      </w:r>
      <w:r>
        <w:fldChar w:fldCharType="begin"/>
        <w:instrText xml:space="preserve"> REF CacheArticle </w:instrText>
        <w:fldChar w:fldCharType="separate"/>
        <w:t xml:space="preserve">the</w:t>
        <w:fldChar w:fldCharType="end"/>
      </w:r>
      <w:r>
        <w:t xml:space="preserve"> </w:t>
      </w:r>
      <w:bookmarkStart w:id="34581" w:name="CacheCalculation"/>
      <w:r>
        <w:t xml:space="preserve">calculation</w:t>
      </w:r>
      <w:bookmarkEnd w:id="34581"/>
      <w:r>
        <w:t xml:space="preserve"> </w:t>
      </w:r>
      <w:bookmarkStart w:id="2" w:name="ComposedCalculation"/>
      <m:oMath>
        <m:r>
          <m:t>a+b=c</m:t>
        </m:r>
      </m:oMath>
      <w:bookmarkEnd w:id="2"/>
      <w:r>
        <w:t xml:space="preserve"> without replacing it.</w:t>
      </w:r>
      <w:hyperlink w:anchor="ComposedCalculation">
        <w:r>
          <w:t xml:space="preserve"> See </w:t>
        </w:r>
        <w:fldSimple w:instr=" REF CacheCalculation ">
          <w:r>
            <w:t xml:space="preserve">calculation</w:t>
          </w:r>
        </w:fldSimple>
        <w:r>
          <w:t xml:space="preserve">.</w:t>
        </w:r>
      </w:hyperlink>
      <w:commentRangeEnd w:id="0"/>
      <w:r>
        <w:commentReference w:id="0"/>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r>
              <w:footnoteReference w:id="1"/>
            </w:r>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r>
        <w:t xml:space="preserve">Review conclusion: the selected assumptions require a documented check.</w:t>
      </w:r>
      <w:r/>
      <w:r>
        <w:t xml:space="preserve"> Supporting note</w:t>
      </w:r>
      <w:r/>
    </w:p>
    <w:sectPr>
      <w:headerReference w:type="default" ns2:id="header"/>
      <w:footerReference w:type="default" ns2: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