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2200" w:type="dxa"/>
        <w:tblLayout w:type="fixed"/>
      </w:tblPr>
      <w:tblGrid>
        <w:gridCol w:w="2200"/>
      </w:tblGrid>
      <w:tr>
        <w:tc>
          <w:tcPr>
            <w:tcW w:w="2200" w:type="dxa"/>
          </w:tcPr>
          <w:p>
            <w:r>
              <w:t xml:space="preserve">Before formula: </w:t>
            </w:r>
            <m:oMath>
              <m:r>
                <w:rPr>
                  <w:rFonts w:ascii="Cambria Math" w:hAnsi="Cambria Math"/>
                </w:rPr>
                <m:t xml:space="preserve">α</m:t>
                <m:rPr>
                  <m:sty m:val="p"/>
                </m:rPr>
              </m:r>
              <m:r>
                <w:rPr>
                  <w:rFonts w:ascii="Cambria Math" w:hAnsi="Cambria Math"/>
                </w:rPr>
                <m:t xml:space="preserve">+</m:t>
                <m:rPr>
                  <m:sty m:val="p"/>
                </m:rPr>
              </m:r>
              <m:r>
                <w:rPr>
                  <w:rFonts w:ascii="Cambria Math" w:hAnsi="Cambria Math"/>
                </w:rPr>
                <m:t xml:space="preserve">β</m:t>
                <m:rPr>
                  <m:sty m:val="p"/>
                </m:rPr>
              </m:r>
              <m:r>
                <w:rPr>
                  <w:rFonts w:ascii="Cambria Math" w:hAnsi="Cambria Math"/>
                </w:rPr>
                <m:t xml:space="preserve">=</m:t>
                <m:rPr>
                  <m:sty m:val="p"/>
                </m:rPr>
              </m:r>
              <m:r>
                <w:rPr>
                  <w:rFonts w:ascii="Cambria Math" w:hAnsi="Cambria Math"/>
                </w:rPr>
                <m:t xml:space="preserve">γ</m:t>
                <m:rPr>
                  <m:sty m:val="p"/>
                </m:rPr>
              </m:r>
            </m:oMath>
            <w:r>
              <w:t xml:space="preserve"> after formula.</w:t>
            </w:r>
          </w:p>
          <w:p>
            <w:r>
              <w:t>Following prose.</w:t>
            </w:r>
          </w:p>
        </w:tc>
      </w:tr>
    </w:tbl>
    <w:p/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