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nary>
          <m:naryPr>
            <m:chr m:val="∑"/>
            <m:limLoc m:val="undOvr"/>
          </m:naryPr>
          <m:sub>
            <w:del w:id="941" w:author="Math Source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w:del>
          </m:sub>
          <m:sup>
            <w:del w:id="942" w:author="Math Source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w:del>
          </m:sup>
          <m:e>
            <w:del w:id="943" w:author="Math Source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w:del>
          </m:e>
        </m:nary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