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Cell preface.</w:t>
            </w:r>
          </w:p>
          <w:p>
            <ns1:oMath>
              <ns1:r>
                <w:rPr>
                  <w:rFonts w:ascii="Cambria Math" w:hAnsi="Cambria Math"/>
                </w:rPr>
                <ns1:t xml:space="preserve">α</ns1:t>
              </ns1:r>
              <ns1:r>
                <w:rPr>
                  <w:rFonts w:ascii="Cambria Math" w:hAnsi="Cambria Math"/>
                </w:rPr>
                <ns1:t xml:space="preserve">+</ns1:t>
              </ns1:r>
              <ns1:r>
                <w:rPr>
                  <w:rFonts w:ascii="Cambria Math" w:hAnsi="Cambria Math"/>
                </w:rPr>
                <ns1:t xml:space="preserve">β</ns1:t>
              </ns1:r>
              <ns1:r>
                <w:rPr>
                  <w:rFonts w:ascii="Cambria Math" w:hAnsi="Cambria Math"/>
                </w:rPr>
                <ns1:t xml:space="preserve">=</ns1:t>
              </ns1:r>
              <ns1:r>
                <w:rPr>
                  <w:rFonts w:ascii="Cambria Math" w:hAnsi="Cambria Math"/>
                </w:rPr>
                <ns1:t xml:space="preserve">γ</ns1:t>
              </ns1:r>
            </ns1:oMath>
          </w:p>
          <w:p>
            <w:r>
              <w:t>Cell afterword.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