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Quarterly operations report</ns0:t>
      </ns0:r>
    </ns0:p>
    <ns0:p>
      <ns0:r>
        <ns0:t xml:space="preserve">Inventory availability</ns0:t>
      </ns0:r>
    </ns0:p>
    <ns0:p>
      <ns0:r>
        <ns0:t xml:space="preserve">Summary: </ns0:t>
      </ns0:r>
      <ns0:bookmarkStart ns0:id="1" ns0:name="Calculation"/>
      <ns1:oMath>
        <ns1:f>
          <ns1:num>
            <ns1:r>
              <ns1:t>x+2</ns1:t>
            </ns1:r>
          </ns1:num>
          <ns1:den>
            <ns1:r>
              <ns1:t>y</ns1:t>
            </ns1:r>
          </ns1:den>
        </ns1:f>
      </ns1:oMath>
      <ns0:bookmarkEnd ns0:id="1"/>
      <ns0:r>
        <ns0:t xml:space="preserve"> governs the planning ratio. See </ns0:t>
      </ns0:r>
      <ns0:hyperlink ns2:id="link">
        <ns0:r>
          <ns0:t xml:space="preserve">public method notes</ns0:t>
        </ns0:r>
      </ns0:hyperlink>
      <ns0:r>
        <ns0:t xml:space="preserve">.</ns0:t>
      </ns0:r>
    </ns0:p>
    <ns0:p>
      <ns0:pPr>
        <ns0:jc ns0:val="both"/>
      </ns0:pPr>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