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pPr>
        <ns0:spacing ns0:line="800" ns0:lineRule="atLeast"/>
      </ns0:pPr>
      <ns0:r>
        <ns0:t>Second public continuation note.</ns0:t>
      </ns0:r>
      <ns0:r>
        <ns0:drawing>
          <ns1:inline>
            <ns1:extent cx="457200" cy="228600"/>
            <ns1:docPr id="501" name="Public continuation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r>
        <ns0:t xml:space="preserve"> </ns0:t>
      </ns0:r>
      <ns5:oMath>
        <ns5:f>
          <ns5:num>
            <ns5:r>
              <ns5:t>x+2</ns5:t>
            </ns5:r>
          </ns5:num>
          <ns5:den>
            <ns5:r>
              <ns5:t>y</ns5:t>
            </ns5:r>
          </ns5:den>
        </ns5:f>
      </ns5:oMath>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

<file path=word/_rels/footnotes.xml.rels><?xml version='1.0' encoding='utf-8'?>
<ns0:Relationships xmlns:ns0="http://schemas.openxmlformats.org/package/2006/relationships"><ns0:Relationship Id="rIdPublicNotePicture" Type="http://schemas.openxmlformats.org/officeDocument/2006/relationships/image" Target="media/trend.png" /></ns0:Relationships>
</file>