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4"/>
        </w:rPr>
        <w:t>Case 1.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</w:pPr>
      <w:r>
        <w:rPr>
          <w:rFonts w:ascii="Arial" w:hAnsi="Arial"/>
          <w:sz w:val="22"/>
        </w:rPr>
        <w:t>Case 2.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Case 3.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4"/>
        </w:rPr>
      </w:pPr>
      <w:r>
        <w:rPr>
          <w:rFonts w:ascii="Arial" w:hAnsi="Arial"/>
          <w:sz w:val="22"/>
        </w:rPr>
        <w:t>Case 4.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20"/>
        </w:rPr>
      </w:pPr>
      <w:r>
        <w:rPr>
          <w:rFonts w:ascii="Calibri" w:hAnsi="Calibri"/>
          <w:sz w:val="24"/>
        </w:rPr>
        <w:t>Case 5. The source mark and inherited paragraph spacing determine the occupied line. Text and annotations should survive ordinary placement changes, while independently measured line starts remain explicit.</w:t>
      </w:r>
    </w:p>
    <w:p>
      <w:pPr>
        <w:spacing w:before="0" w:after="0"/>
        <w:rPr>
          <w:rFonts w:ascii="Calibri" w:hAnsi="Calibri"/>
          <w:sz w:val="40"/>
        </w:rPr>
      </w:pPr>
      <w:r>
        <w:rPr>
          <w:rFonts w:ascii="Calibri" w:hAnsi="Calibri"/>
          <w:sz w:val="24"/>
        </w:rPr>
        <w:t>Case 6. The source mark and inherited paragraph spacing determine the occupied line. Text and annotations should survive ordinary placement changes, while independently measured line starts remain explicit.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  <w:pPr>
      <w:spacing w:line="278" w:lineRule="auto"/>
    </w:pPr>
    <w:rPr>
      <w:rFonts w:ascii="Calibri" w:hAnsi="Calibri"/>
      <w:sz w:val="24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