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w:r>
        <w:rPr>
          <w:rFonts w:ascii="Arial" w:hAnsi="Arial"/>
          <w:sz w:val="24"/>
          <w:vertAlign w:val="superscript"/>
        </w:rPr>
        <w:footnoteReference w:id="1"/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  <w:footnotePr>
        <w:numRestart w:val="continuous"/>
      </w:footnotePr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notes.xml><?xml version="1.0" encoding="utf-8"?>
<w:footnotes xmlns:ns1="http://schemas.openxmlformats.org/officeDocument/2006/math" xmlns:w="http://schemas.openxmlformats.org/wordprocessingml/2006/main">
  <w:footnote w:id="1">
    <w:p>
      <w:r>
        <w:footnoteRef/>
      </w:r>
      <w:r>
        <w:t xml:space="preserve">Public calculation note.</w:t>
      </w:r>
      <w:r>
        <w:t xml:space="preserve"> Calculation: </w:t>
      </w:r>
      <w:bookmarkStart w:id="55001" w:name="NoteCalculation"/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bookmarkEnd w:id="55001"/>
      <w:r>
        <w:t xml:space="preserve"> and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End of supported note.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footnotes" Target="footnotes.xml" /></ns0:Relationships>
</file>