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sSubSup>
            <m:e>
              <m:r>
                <m:rPr>
                  <m:sty m:val="b"/>
                </m:rPr>
                <w:rPr>
                  <w:rFonts w:ascii="Cambria Math" w:hAnsi="Cambria Math"/>
                </w:rPr>
                <m:t xml:space="preserve">α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 xml:space="preserve">β</m:t>
              </m:r>
            </m:sub>
            <m:sup>
              <m:r>
                <m:rPr>
                  <m:sty m:val="b"/>
                </m:rPr>
                <w:rPr>
                  <w:rFonts w:ascii="Cambria Math" w:hAnsi="Cambria Math"/>
                </w:rPr>
                <m:t xml:space="preserve">2</m:t>
              </m:r>
            </m:sup>
          </m:sSubSup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