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m:oMathPara>
        <m:oMath>
          <m:f>
            <m:num>
              <m:r>
                <m:t>x+2</m:t>
              </m:r>
            </m:num>
            <m:den>
              <m:sSubSup>
                <m:e/>
                <m:sub/>
                <m:sup/>
              </m:sSubSup>
            </m:den>
          </m:f>
        </m:oMath>
      </m:oMathPara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