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3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3000"/>
      </w:tblGrid>
      <w:tr>
        <w:tc>
          <w:tcPr>
            <w:tcW w:w="3000" w:type="dxa"/>
            <w:vAlign w:val="top"/>
          </w:tcPr>
          <w:p>
            <w:r>
              <w:t xml:space="preserve">Before inline </w:t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y</m:t>
                  </m:r>
                </m:den>
              </m:f>
            </m:oMath>
            <w:r>
              <w:t xml:space="preserve"> after equation with more public prose.</w:t>
            </w:r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