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37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Second public paragraph </w:t>
      </w:r>
      <w:r>
        <w:rPr>
          <w:rStyle w:val="FootnoteReference"/>
          <w:vertAlign w:val="superscript"/>
        </w:rPr>
        <w:footnoteReference w:id="4"/>
      </w:r>
      <w:r>
        <w:rPr>
          <w:rFonts w:ascii="Calibri" w:hAnsi="Calibri"/>
          <w:sz w:val="24"/>
        </w:rPr>
        <w:t xml:space="preserve"> after the second marker.</w:t>
      </w:r>
    </w:p>
    <w:sectPr>
      <w:pgSz w:w="12240" w:h="15840"/>
      <w:pgMar w:top="1440" w:right="1440" w:bottom="1440" w:left="1440" w:header="720" w:footer="720"/>
      <w:footnotePr>
        <w:pos w:val="pageBottom"/>
        <w:numStart w:val="105"/>
      </w:footnotePr>
      <w:endnotePr>
        <w:pos w:val="docEnd"/>
      </w:endnotePr>
    </w:sectPr>
  </w:body>
</w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1 destination text.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2 destination text.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