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</ns0:pPr>
      <ns0:r>
        <ns0:t xml:space="preserve">Before formula: </ns0:t>
      </ns0:r>
      <ns1:oMath>
        <ns1:m>
          <ns1:mPr>
            <ns1:mcs>
              <ns1:mc>
                <ns1:mcPr/>
              </ns1:mc>
              <ns1:mc>
                <ns1:mcPr>
                  <ns1:count/>
                  <ns1:mcJc/>
                </ns1:mcPr>
              </ns1:mc>
            </ns1:mcs>
          </ns1:mPr>
          <ns1:mr>
            <ns1:e/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bb</ns1:t>
              </ns1:r>
            </ns1:e>
          </ns1:mr>
          <ns1:mr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ccc</ns1:t>
              </ns1:r>
            </ns1:e>
            <ns1:e>
              <ns1:r>
                <ns1:rPr/>
                <ns0:rPr>
                  <ns0:rFonts ns0:ascii="Cambria Math" ns0:hAnsi="Cambria Math"/>
                  <ns0:sz ns0:val="24"/>
                </ns0:rPr>
                <ns1:t xml:space="preserve">d</ns1:t>
              </ns1:r>
            </ns1:e>
          </ns1:mr>
        </ns1:m>
      </ns1:oMath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