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1:oMath>
        <ns1:sSubSup>
          <ns1:e>
            <ns1:r>
              <ns0:rPr>
                <ns0:rFonts ns0:ascii="Cambria Math" ns0:hAnsi="Cambria Math"/>
              </ns0:rPr>
              <ns1:t xml:space="preserve">α</ns1:t>
            </ns1:r>
          </ns1:e>
          <ns1:sub>
            <ns1:r>
              <ns0:rPr>
                <ns0:rFonts ns0:ascii="Cambria Math" ns0:hAnsi="Cambria Math"/>
              </ns0:rPr>
              <ns1:t xml:space="preserve">i</ns1:t>
            </ns1:r>
          </ns1:sub>
          <ns1:sup/>
        </ns1:sSubSup>
      </ns1:oMath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