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36"/>
        </w:rPr>
        <w:t>Leading paragraph.</w:t>
      </w:r>
    </w:p>
    <w:p>
      <w:r>
        <w:t xml:space="preserve">Before formula: </w:t>
      </w:r>
      <ns1:oMath>
        <ns1:r>
          <w:rPr>
            <w:rFonts w:ascii="Cambria Math" w:hAnsi="Cambria Math"/>
          </w:rPr>
          <ns1:t xml:space="preserve">α</ns1:t>
        </ns1:r>
        <ns1:r>
          <w:rPr>
            <w:rFonts w:ascii="Cambria Math" w:hAnsi="Cambria Math"/>
          </w:rPr>
          <ns1:t xml:space="preserve">+</ns1:t>
        </ns1:r>
        <ns1:r>
          <w:rPr>
            <w:rFonts w:ascii="Cambria Math" w:hAnsi="Cambria Math"/>
          </w:rPr>
          <ns1:t xml:space="preserve">β</ns1:t>
        </ns1:r>
        <ns1:r>
          <w:rPr>
            <w:rFonts w:ascii="Cambria Math" w:hAnsi="Cambria Math"/>
          </w:rPr>
          <ns1:t xml:space="preserve">=</ns1:t>
        </ns1:r>
        <ns1:r>
          <w:rPr>
            <w:rFonts w:ascii="Cambria Math" w:hAnsi="Cambria Math"/>
          </w:rPr>
          <ns1:t xml:space="preserve">γ</ns1:t>
        </ns1:r>
      </ns1:oMath>
      <w:r>
        <w:t xml:space="preserve"> and </w:t>
      </w:r>
      <ns1:oMath>
        <ns1:r>
          <w:rPr>
            <w:rFonts w:ascii="Cambria Math" w:hAnsi="Cambria Math"/>
          </w:rPr>
          <ns1:t xml:space="preserve">α</ns1:t>
        </ns1:r>
        <ns1:r>
          <w:rPr>
            <w:rFonts w:ascii="Cambria Math" w:hAnsi="Cambria Math"/>
          </w:rPr>
          <ns1:t xml:space="preserve">+</ns1:t>
        </ns1:r>
        <ns1:r>
          <w:rPr>
            <w:rFonts w:ascii="Cambria Math" w:hAnsi="Cambria Math"/>
          </w:rPr>
          <ns1:t xml:space="preserve">β</ns1:t>
        </ns1:r>
        <ns1:r>
          <w:rPr>
            <w:rFonts w:ascii="Cambria Math" w:hAnsi="Cambria Math"/>
          </w:rPr>
          <ns1:t xml:space="preserve">=</ns1:t>
        </ns1:r>
        <ns1:r>
          <w:rPr>
            <w:rFonts w:ascii="Cambria Math" w:hAnsi="Cambria Math"/>
          </w:rPr>
          <ns1:t xml:space="preserve">γ</ns1:t>
        </ns1:r>
      </ns1:oMath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