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36"/>
        </w:rPr>
        <w:t>Leading paragraph.</w:t>
      </w:r>
    </w:p>
    <w:p>
      <w:r>
        <w:t xml:space="preserve">Before formula: </w:t>
      </w:r>
      <ns1:oMath>
        <ns1:r>
          <w:rPr>
            <w:rFonts w:ascii="Cambria Math" w:hAnsi="Cambria Math"/>
          </w:rPr>
          <ns1:t xml:space="preserve">α</ns1:t>
        </ns1:r>
        <ns1:r>
          <w:rPr>
            <w:rFonts w:ascii="Cambria Math" w:hAnsi="Cambria Math"/>
          </w:rPr>
          <ns1:t xml:space="preserve">+</ns1:t>
        </ns1:r>
        <ns1:r>
          <w:rPr>
            <w:rFonts w:ascii="Cambria Math" w:hAnsi="Cambria Math"/>
          </w:rPr>
          <ns1:t xml:space="preserve">β</ns1:t>
        </ns1:r>
        <ns1:r>
          <w:rPr>
            <w:rFonts w:ascii="Cambria Math" w:hAnsi="Cambria Math"/>
          </w:rPr>
          <ns1:t xml:space="preserve">=</ns1:t>
        </ns1:r>
        <ns1:r>
          <w:rPr>
            <w:rFonts w:ascii="Cambria Math" w:hAnsi="Cambria Math"/>
          </w:rPr>
          <ns1:t xml:space="preserve">γ</ns1:t>
        </ns1:r>
      </ns1:oMath>
    </w:p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