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</w:p>
    <w:p>
      <m:oMathPara>
        <m:oMath xmlns:m="http://schemas.openxmlformats.org/officeDocument/2006/math">
          <m:r>
            <w:rPr>
              <w:rFonts w:ascii="Cambria Math" w:hAnsi="Cambria Math"/>
            </w:rPr>
            <m:t xml:space="preserve">α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β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γ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