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Quarterly operations report</w:t>
      </w:r>
    </w:p>
    <w:p>
      <w:r>
        <w:t xml:space="preserve">Inventory availability</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xmlns:wp="http://schemas.openxmlformats.org/drawingml/2006/wordprocessingDrawing" xmlns:a="http://schemas.openxmlformats.org/drawingml/2006/main" xmlns:pic="http://schemas.openxmlformats.org/drawingml/2006/picture">
            <wp:extent cx="457200" cy="228600"/>
            <wp:docPr id="1" name="Public trend illustration"/>
            <a:graphic>
              <a:graphicData uri="http://schemas.openxmlformats.org/drawingml/2006/picture">
                <pic:pic>
                  <pic:nvPicPr>
                    <pic:cNvPr id="1" name="Public trend illustration"/>
                    <pic:cNvPicPr/>
                  </pic:nvPicPr>
                  <pic:blipFill>
                    <a:blip r:embed="image"/>
                    <a:stretch>
                      <a:fillRect/>
                    </a:stretch>
                  </pic:blipFill>
                  <pic:spPr>
                    <a:xfrm>
                      <a:off x="0" y="0"/>
                      <a:ext cx="457200" cy="228600"/>
                    </a:xfrm>
                    <a:prstGeom prst="rect">
                      <a:avLst/>
                    </a:prstGeom>
                  </pic:spPr>
                </pic:pic>
              </a:graphicData>
            </a:graphic>
          </wp: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