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tbl xmlns:w="http://schemas.openxmlformats.org/wordprocessingml/2006/main">
      <w:tblPr>
        <w:tblW w:w="9000" w:type="dxa"/>
      </w:tblPr>
      <w:tblGrid>
        <w:gridCol w:w="9000"/>
      </w:tblGrid>
      <w:tr>
        <w:tc>
          <w:p>
            <w:bookmarkStart w:id="51" w:name="MixedObjects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57200" cy="228600"/>
                  <wp:docPr id="1" name="Public trend illustration"/>
                  <a:graphic>
                    <a:graphicData uri="http://schemas.openxmlformats.org/drawingml/2006/picture">
                      <pic:pic>
                        <pic:nvPicPr>
                          <pic:cNvPr id="1" name="Public trend illustration"/>
                          <pic:cNvPicPr/>
                        </pic:nvPicPr>
                        <pic:blipFill>
                          <a:blip r:embed="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m:t>a+b=c</m:t>
              </m:r>
            </m:oMath>
            <w:bookmarkEnd w:id="51"/>
          </w:p>
        </w:tc>
      </w:tr>
    </w:tbl>
    <w:p xmlns:w="http://schemas.openxmlformats.org/wordprocessingml/2006/main">
      <w:commentRangeStart w:id="0"/>
      <w:r>
        <w:t>Review anchor.</w:t>
      </w:r>
      <w:commentRangeEnd w:id="0"/>
      <w:r>
        <w:commentReference w:id="0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