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 xmlns:w="http://schemas.openxmlformats.org/wordprocessingml/2006/main">
      <w:r>
        <w:t>Container source prose.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bookmarkStart w:id="51" w:name="MixedObjects"/>
    <m:oMath>
      <m:f>
        <m:num>
          <m:r>
            <m:t>x+2</m:t>
          </m:r>
        </m:num>
        <m:den>
          <m:r>
            <m:t>y</m:t>
          </m:r>
        </m:den>
      </m:f>
    </m:oMath>
    <w:r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457200" cy="228600"/>
          <wp:docPr id="1" name="Public trend illustration"/>
          <a:graphic>
            <a:graphicData uri="http://schemas.openxmlformats.org/drawingml/2006/picture">
              <pic:pic>
                <pic:nvPicPr>
                  <pic:cNvPr id="1" name="Public trend illustration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4572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m:oMath>
      <m:r>
        <m:t>a+b=c</m:t>
      </m:r>
    </m:oMath>
    <w:bookmarkEnd w:id="51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"1.0" encoding="utf-8"?>
<Relationships xmlns="http://schemas.openxmlformats.org/package/2006/relationships">
  <Relationship Id="image" Type="http://schemas.openxmlformats.org/officeDocument/2006/relationships/image" Target="media/trend.png" />
</Relationships>
</file>