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1"/>
      <w:bookmarkStart w:id="412" w:name="MathBody2"/>
      <m:oMath>
        <m:f>
          <m:num>
            <m:r>
              <m:t>x+2</m:t>
            </m:r>
          </m:num>
          <m:den>
            <m: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1"/>
            <w:r>
              <w:drawing>
                <ns2:inline>
                  <ns2:extent cx="457200" cy="228600"/>
                  <ns2:docPr id="1" name="Public trend illustration"/>
                  <ns3:graphic>
                    <ns3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3:blip ns5:embed="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w:r>
              <w:br/>
            </w:r>
            <w:bookmarkStart w:id="422" w:name="MathCell2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5:id="header"/>
      <w:footerReference w:type="default" ns5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t>x+2</m:t>
          </m:r>
        </m:num>
        <m:den>
          <m:r>
            <m:t>y</m:t>
          </m:r>
        </m:den>
      </m:f>
    </m:oMath>
    <w:bookmarkEnd w:id="441"/>
    <w:bookmarkStart w:id="442" w:name="MathFooter2"/>
    <m:oMath>
      <m:f>
        <m:num>
          <m:r>
            <m:t>x+2</m:t>
          </m:r>
        </m:num>
        <m:den>
          <m: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w="http://schemas.openxmlformats.org/wordprocessingml/2006/main">
  <w:p>
    <w:bookmarkStart w:id="431" w:name="MathHeader1"/>
    <m:oMath>
      <m:f>
        <m:num>
          <m:r>
            <m:t>x+2</m:t>
          </m:r>
        </m:num>
        <m:den>
          <m:r>
            <m:t>y</m:t>
          </m:r>
        </m:den>
      </m:f>
    </m:oMath>
    <w:bookmarkEnd w:id="431"/>
    <w:bookmarkStart w:id="432" w:name="MathHeader2"/>
    <m:oMath>
      <m:f>
        <m:num>
          <m:r>
            <m:t>x+2</m:t>
          </m:r>
        </m:num>
        <m:den>
          <m: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